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0E424">
      <w:pPr>
        <w:pStyle w:val="2"/>
        <w:numPr>
          <w:ilvl w:val="0"/>
          <w:numId w:val="0"/>
        </w:numPr>
        <w:spacing w:before="0" w:after="0" w:line="240" w:lineRule="auto"/>
        <w:jc w:val="center"/>
        <w:rPr>
          <w:rFonts w:hint="default" w:ascii="宋体" w:hAnsi="宋体" w:eastAsia="宋体" w:cs="宋体"/>
          <w:sz w:val="36"/>
          <w:szCs w:val="36"/>
          <w:lang w:val="en-US" w:eastAsia="zh-CN"/>
        </w:rPr>
      </w:pPr>
      <w:r>
        <w:rPr>
          <w:rFonts w:hint="eastAsia" w:ascii="宋体" w:hAnsi="宋体" w:eastAsia="宋体" w:cs="宋体"/>
          <w:b/>
          <w:bCs/>
          <w:color w:val="000000"/>
          <w:sz w:val="36"/>
          <w:szCs w:val="36"/>
          <w:highlight w:val="none"/>
        </w:rPr>
        <w:t>合同条款及格式</w:t>
      </w:r>
    </w:p>
    <w:p w14:paraId="1E32DCA7">
      <w:pPr>
        <w:numPr>
          <w:ilvl w:val="0"/>
          <w:numId w:val="0"/>
        </w:numPr>
        <w:spacing w:before="0" w:after="0" w:line="240" w:lineRule="auto"/>
        <w:jc w:val="center"/>
        <w:outlineLvl w:val="9"/>
        <w:rPr>
          <w:rFonts w:hint="eastAsia" w:ascii="宋体" w:hAnsi="宋体" w:eastAsia="宋体" w:cs="宋体"/>
          <w:lang w:eastAsia="zh-CN"/>
        </w:rPr>
      </w:pPr>
    </w:p>
    <w:p w14:paraId="0657FA0C">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kern w:val="0"/>
          <w:sz w:val="28"/>
          <w:szCs w:val="28"/>
          <w:lang w:val="en-US" w:eastAsia="zh-CN" w:bidi="ar"/>
        </w:rPr>
      </w:pPr>
      <w:r>
        <w:rPr>
          <w:rFonts w:hint="eastAsia" w:ascii="宋体" w:hAnsi="宋体" w:eastAsia="宋体" w:cs="宋体"/>
          <w:b w:val="0"/>
          <w:bCs w:val="0"/>
          <w:color w:val="auto"/>
          <w:kern w:val="0"/>
          <w:sz w:val="28"/>
          <w:szCs w:val="28"/>
          <w:lang w:val="en-US" w:eastAsia="zh-CN" w:bidi="ar"/>
        </w:rPr>
        <w:t>（</w:t>
      </w:r>
      <w:r>
        <w:rPr>
          <w:rFonts w:hint="eastAsia" w:ascii="宋体" w:hAnsi="宋体" w:eastAsia="宋体" w:cs="宋体"/>
          <w:b w:val="0"/>
          <w:bCs w:val="0"/>
          <w:color w:val="auto"/>
          <w:kern w:val="0"/>
          <w:sz w:val="24"/>
          <w:szCs w:val="24"/>
          <w:lang w:val="en-US" w:eastAsia="zh-CN" w:bidi="ar"/>
        </w:rPr>
        <w:t>本合同为示范文本，具体以签订为准</w:t>
      </w:r>
      <w:r>
        <w:rPr>
          <w:rFonts w:hint="eastAsia" w:ascii="宋体" w:hAnsi="宋体" w:eastAsia="宋体" w:cs="宋体"/>
          <w:b w:val="0"/>
          <w:bCs w:val="0"/>
          <w:color w:val="auto"/>
          <w:kern w:val="0"/>
          <w:sz w:val="28"/>
          <w:szCs w:val="28"/>
          <w:lang w:val="en-US" w:eastAsia="zh-CN" w:bidi="ar"/>
        </w:rPr>
        <w:t>）</w:t>
      </w:r>
    </w:p>
    <w:p w14:paraId="4E3AD898">
      <w:pPr>
        <w:numPr>
          <w:ilvl w:val="0"/>
          <w:numId w:val="0"/>
        </w:numPr>
        <w:jc w:val="both"/>
        <w:outlineLvl w:val="9"/>
        <w:rPr>
          <w:rFonts w:hint="eastAsia" w:ascii="宋体" w:hAnsi="宋体" w:eastAsia="宋体" w:cs="宋体"/>
          <w:b/>
          <w:bCs/>
          <w:i/>
          <w:iCs/>
          <w:color w:val="auto"/>
          <w:sz w:val="28"/>
          <w:szCs w:val="28"/>
          <w:lang w:eastAsia="zh-CN"/>
        </w:rPr>
      </w:pPr>
    </w:p>
    <w:p w14:paraId="0BE9765F">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auto"/>
          <w:kern w:val="0"/>
          <w:sz w:val="44"/>
          <w:szCs w:val="44"/>
          <w:lang w:val="en-US" w:eastAsia="zh-CN" w:bidi="ar"/>
        </w:rPr>
      </w:pPr>
    </w:p>
    <w:p w14:paraId="1823DF6E">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000000"/>
          <w:kern w:val="0"/>
          <w:sz w:val="44"/>
          <w:szCs w:val="44"/>
          <w:lang w:val="en-US" w:eastAsia="zh-CN" w:bidi="ar"/>
        </w:rPr>
      </w:pPr>
      <w:bookmarkStart w:id="39" w:name="_GoBack"/>
      <w:bookmarkEnd w:id="39"/>
    </w:p>
    <w:p w14:paraId="14D21F60">
      <w:pPr>
        <w:keepNext w:val="0"/>
        <w:keepLines w:val="0"/>
        <w:pageBreakBefore w:val="0"/>
        <w:widowControl/>
        <w:kinsoku/>
        <w:wordWrap/>
        <w:overflowPunct/>
        <w:topLinePunct w:val="0"/>
        <w:autoSpaceDE/>
        <w:autoSpaceDN/>
        <w:bidi w:val="0"/>
        <w:spacing w:line="360" w:lineRule="auto"/>
        <w:jc w:val="center"/>
        <w:textAlignment w:val="auto"/>
        <w:outlineLvl w:val="0"/>
        <w:rPr>
          <w:rFonts w:hint="eastAsia" w:ascii="宋体" w:hAnsi="宋体" w:eastAsia="宋体" w:cs="宋体"/>
          <w:b/>
          <w:bCs/>
          <w:color w:val="000000"/>
          <w:kern w:val="0"/>
          <w:sz w:val="48"/>
          <w:szCs w:val="48"/>
          <w:lang w:val="en-US" w:eastAsia="zh-CN" w:bidi="ar"/>
        </w:rPr>
      </w:pPr>
      <w:bookmarkStart w:id="0" w:name="_Toc2982"/>
      <w:bookmarkStart w:id="1" w:name="_Toc3486"/>
      <w:bookmarkStart w:id="2" w:name="_Toc24764"/>
      <w:r>
        <w:rPr>
          <w:rFonts w:hint="eastAsia" w:ascii="宋体" w:hAnsi="宋体" w:eastAsia="宋体" w:cs="宋体"/>
          <w:b/>
          <w:bCs/>
          <w:color w:val="000000"/>
          <w:kern w:val="0"/>
          <w:sz w:val="48"/>
          <w:szCs w:val="48"/>
          <w:lang w:val="en-US" w:eastAsia="zh-CN" w:bidi="ar"/>
        </w:rPr>
        <w:t>合</w:t>
      </w:r>
      <w:bookmarkEnd w:id="0"/>
      <w:bookmarkEnd w:id="1"/>
      <w:bookmarkEnd w:id="2"/>
    </w:p>
    <w:p w14:paraId="06363894">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000000"/>
          <w:kern w:val="0"/>
          <w:sz w:val="48"/>
          <w:szCs w:val="48"/>
          <w:lang w:val="en-US" w:eastAsia="zh-CN" w:bidi="ar"/>
        </w:rPr>
      </w:pPr>
    </w:p>
    <w:p w14:paraId="5E41E6C8">
      <w:pPr>
        <w:keepNext w:val="0"/>
        <w:keepLines w:val="0"/>
        <w:pageBreakBefore w:val="0"/>
        <w:widowControl/>
        <w:kinsoku/>
        <w:wordWrap/>
        <w:overflowPunct/>
        <w:topLinePunct w:val="0"/>
        <w:autoSpaceDE/>
        <w:autoSpaceDN/>
        <w:bidi w:val="0"/>
        <w:spacing w:line="360" w:lineRule="auto"/>
        <w:jc w:val="center"/>
        <w:textAlignment w:val="auto"/>
        <w:outlineLvl w:val="0"/>
        <w:rPr>
          <w:rFonts w:hint="eastAsia" w:ascii="宋体" w:hAnsi="宋体" w:eastAsia="宋体" w:cs="宋体"/>
          <w:b/>
          <w:bCs/>
          <w:color w:val="000000"/>
          <w:kern w:val="0"/>
          <w:sz w:val="48"/>
          <w:szCs w:val="48"/>
          <w:lang w:val="en-US" w:eastAsia="zh-CN" w:bidi="ar"/>
        </w:rPr>
      </w:pPr>
      <w:bookmarkStart w:id="3" w:name="_Toc14183"/>
      <w:bookmarkStart w:id="4" w:name="_Toc7177"/>
      <w:bookmarkStart w:id="5" w:name="_Toc28800"/>
      <w:r>
        <w:rPr>
          <w:rFonts w:hint="eastAsia" w:ascii="宋体" w:hAnsi="宋体" w:eastAsia="宋体" w:cs="宋体"/>
          <w:b/>
          <w:bCs/>
          <w:color w:val="000000"/>
          <w:kern w:val="0"/>
          <w:sz w:val="48"/>
          <w:szCs w:val="48"/>
          <w:lang w:val="en-US" w:eastAsia="zh-CN" w:bidi="ar"/>
        </w:rPr>
        <w:t>同</w:t>
      </w:r>
      <w:bookmarkEnd w:id="3"/>
      <w:bookmarkEnd w:id="4"/>
      <w:bookmarkEnd w:id="5"/>
    </w:p>
    <w:p w14:paraId="1934A6D4">
      <w:pPr>
        <w:outlineLvl w:val="9"/>
        <w:rPr>
          <w:rFonts w:hint="eastAsia" w:ascii="宋体" w:hAnsi="宋体" w:eastAsia="宋体" w:cs="宋体"/>
          <w:b/>
          <w:bCs/>
          <w:i/>
          <w:iCs/>
          <w:color w:val="000000"/>
          <w:sz w:val="21"/>
          <w:szCs w:val="21"/>
          <w:lang w:val="en-US" w:eastAsia="zh-CN"/>
        </w:rPr>
      </w:pPr>
    </w:p>
    <w:p w14:paraId="7544E25E">
      <w:pPr>
        <w:pStyle w:val="3"/>
        <w:outlineLvl w:val="9"/>
        <w:rPr>
          <w:rFonts w:hint="eastAsia" w:ascii="宋体" w:hAnsi="宋体" w:eastAsia="宋体" w:cs="宋体"/>
          <w:b/>
          <w:bCs/>
          <w:i/>
          <w:iCs/>
          <w:color w:val="000000"/>
          <w:sz w:val="21"/>
          <w:szCs w:val="21"/>
          <w:lang w:val="en-US" w:eastAsia="zh-CN"/>
        </w:rPr>
      </w:pPr>
    </w:p>
    <w:p w14:paraId="43E380A6">
      <w:pPr>
        <w:outlineLvl w:val="9"/>
        <w:rPr>
          <w:rFonts w:hint="eastAsia" w:ascii="宋体" w:hAnsi="宋体" w:eastAsia="宋体" w:cs="宋体"/>
          <w:b/>
          <w:bCs/>
          <w:i/>
          <w:iCs/>
          <w:color w:val="000000"/>
          <w:sz w:val="21"/>
          <w:szCs w:val="21"/>
          <w:lang w:val="en-US" w:eastAsia="zh-CN"/>
        </w:rPr>
      </w:pPr>
    </w:p>
    <w:p w14:paraId="6E718B56">
      <w:pPr>
        <w:pStyle w:val="3"/>
        <w:outlineLvl w:val="9"/>
        <w:rPr>
          <w:rFonts w:hint="eastAsia" w:ascii="宋体" w:hAnsi="宋体" w:eastAsia="宋体" w:cs="宋体"/>
          <w:b/>
          <w:bCs/>
          <w:i/>
          <w:iCs/>
          <w:color w:val="000000"/>
          <w:sz w:val="21"/>
          <w:szCs w:val="21"/>
          <w:lang w:val="en-US" w:eastAsia="zh-CN"/>
        </w:rPr>
      </w:pPr>
    </w:p>
    <w:p w14:paraId="2115FF61">
      <w:pPr>
        <w:outlineLvl w:val="9"/>
        <w:rPr>
          <w:rFonts w:hint="eastAsia" w:ascii="宋体" w:hAnsi="宋体" w:eastAsia="宋体" w:cs="宋体"/>
          <w:b/>
          <w:bCs/>
          <w:i/>
          <w:iCs/>
          <w:color w:val="000000"/>
          <w:sz w:val="21"/>
          <w:szCs w:val="21"/>
          <w:lang w:val="en-US" w:eastAsia="zh-CN"/>
        </w:rPr>
      </w:pPr>
    </w:p>
    <w:p w14:paraId="642356A8">
      <w:pPr>
        <w:numPr>
          <w:ilvl w:val="0"/>
          <w:numId w:val="0"/>
        </w:numPr>
        <w:jc w:val="both"/>
        <w:outlineLvl w:val="9"/>
        <w:rPr>
          <w:rFonts w:hint="eastAsia" w:ascii="宋体" w:hAnsi="宋体" w:eastAsia="宋体" w:cs="宋体"/>
          <w:b w:val="0"/>
          <w:bCs w:val="0"/>
          <w:i w:val="0"/>
          <w:iCs w:val="0"/>
          <w:color w:val="000000"/>
          <w:sz w:val="21"/>
          <w:szCs w:val="21"/>
          <w:lang w:val="en-US" w:eastAsia="zh-CN"/>
        </w:rPr>
      </w:pPr>
      <w:r>
        <w:rPr>
          <w:rFonts w:hint="eastAsia" w:ascii="宋体" w:hAnsi="宋体" w:eastAsia="宋体" w:cs="宋体"/>
          <w:b/>
          <w:bCs/>
          <w:i/>
          <w:iCs/>
          <w:color w:val="000000"/>
          <w:sz w:val="21"/>
          <w:szCs w:val="21"/>
          <w:lang w:val="en-US" w:eastAsia="zh-CN"/>
        </w:rPr>
        <w:t xml:space="preserve">     </w:t>
      </w:r>
    </w:p>
    <w:p w14:paraId="0C50B25F">
      <w:pPr>
        <w:overflowPunct w:val="0"/>
        <w:adjustRightInd w:val="0"/>
        <w:snapToGrid w:val="0"/>
        <w:spacing w:line="360" w:lineRule="auto"/>
        <w:ind w:firstLine="843" w:firstLineChars="300"/>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发包</w:t>
      </w:r>
      <w:r>
        <w:rPr>
          <w:rFonts w:hint="eastAsia" w:ascii="宋体" w:hAnsi="宋体" w:eastAsia="宋体" w:cs="宋体"/>
          <w:b/>
          <w:bCs/>
          <w:color w:val="000000"/>
          <w:sz w:val="28"/>
          <w:szCs w:val="28"/>
        </w:rPr>
        <w:t xml:space="preserve">单位：                                  </w:t>
      </w:r>
    </w:p>
    <w:p w14:paraId="08C4A637">
      <w:pPr>
        <w:rPr>
          <w:rFonts w:hint="eastAsia" w:ascii="宋体" w:hAnsi="宋体" w:eastAsia="宋体" w:cs="宋体"/>
          <w:b/>
          <w:bCs/>
          <w:color w:val="000000"/>
          <w:sz w:val="28"/>
          <w:szCs w:val="28"/>
        </w:rPr>
      </w:pPr>
    </w:p>
    <w:p w14:paraId="6375BCC4">
      <w:pPr>
        <w:overflowPunct w:val="0"/>
        <w:adjustRightInd w:val="0"/>
        <w:snapToGrid w:val="0"/>
        <w:spacing w:line="360" w:lineRule="auto"/>
        <w:ind w:firstLine="843" w:firstLineChars="3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承包单位：                           </w:t>
      </w:r>
    </w:p>
    <w:p w14:paraId="24D1F2BB">
      <w:pPr>
        <w:overflowPunct w:val="0"/>
        <w:adjustRightInd w:val="0"/>
        <w:snapToGrid w:val="0"/>
        <w:spacing w:line="360" w:lineRule="auto"/>
        <w:rPr>
          <w:rFonts w:hint="eastAsia" w:ascii="宋体" w:hAnsi="宋体" w:eastAsia="宋体" w:cs="宋体"/>
          <w:b/>
          <w:bCs/>
          <w:color w:val="000000"/>
          <w:sz w:val="28"/>
          <w:szCs w:val="28"/>
        </w:rPr>
      </w:pPr>
    </w:p>
    <w:p w14:paraId="19446AF4">
      <w:pPr>
        <w:overflowPunct w:val="0"/>
        <w:adjustRightInd w:val="0"/>
        <w:snapToGrid w:val="0"/>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w:t>
      </w:r>
    </w:p>
    <w:p w14:paraId="51BE3406">
      <w:pPr>
        <w:overflowPunct w:val="0"/>
        <w:adjustRightInd w:val="0"/>
        <w:snapToGri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签订日期：    年   月   日</w:t>
      </w:r>
    </w:p>
    <w:p w14:paraId="13197A40">
      <w:pPr>
        <w:keepNext w:val="0"/>
        <w:keepLines w:val="0"/>
        <w:pageBreakBefore w:val="0"/>
        <w:widowControl/>
        <w:kinsoku/>
        <w:wordWrap/>
        <w:overflowPunct/>
        <w:topLinePunct w:val="0"/>
        <w:autoSpaceDE/>
        <w:autoSpaceDN/>
        <w:bidi w:val="0"/>
        <w:spacing w:line="360" w:lineRule="auto"/>
        <w:ind w:firstLine="562" w:firstLineChars="200"/>
        <w:jc w:val="left"/>
        <w:textAlignment w:val="auto"/>
        <w:rPr>
          <w:rFonts w:hint="eastAsia" w:ascii="宋体" w:hAnsi="宋体" w:eastAsia="宋体" w:cs="宋体"/>
          <w:b/>
          <w:bCs/>
          <w:color w:val="auto"/>
          <w:kern w:val="0"/>
          <w:sz w:val="28"/>
          <w:szCs w:val="28"/>
        </w:rPr>
      </w:pPr>
    </w:p>
    <w:p w14:paraId="41676209">
      <w:p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br w:type="page"/>
      </w:r>
    </w:p>
    <w:p w14:paraId="37BFD3F4">
      <w:pPr>
        <w:adjustRightInd w:val="0"/>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zh-CN"/>
        </w:rPr>
        <w:t>发包单位</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甲方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p>
    <w:p w14:paraId="45706103">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承包单位</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285DA52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6BA7457E">
      <w:pPr>
        <w:adjustRightInd w:val="0"/>
        <w:snapToGrid w:val="0"/>
        <w:spacing w:line="360" w:lineRule="auto"/>
        <w:ind w:firstLine="482" w:firstLineChars="200"/>
        <w:outlineLvl w:val="0"/>
        <w:rPr>
          <w:rFonts w:hint="eastAsia" w:ascii="宋体" w:hAnsi="宋体" w:eastAsia="宋体" w:cs="宋体"/>
          <w:b/>
          <w:bCs/>
          <w:color w:val="000000"/>
          <w:sz w:val="24"/>
          <w:szCs w:val="24"/>
          <w:lang w:val="zh-CN"/>
        </w:rPr>
      </w:pPr>
      <w:bookmarkStart w:id="6" w:name="_Toc20808"/>
      <w:bookmarkStart w:id="7" w:name="_Toc6649"/>
      <w:bookmarkStart w:id="8" w:name="_Toc28934"/>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bookmarkEnd w:id="6"/>
      <w:bookmarkEnd w:id="7"/>
      <w:bookmarkEnd w:id="8"/>
    </w:p>
    <w:p w14:paraId="45DBAD9D">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1、工程地点：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w:t>
      </w:r>
    </w:p>
    <w:p w14:paraId="1A352F19">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2、工程范围及规模：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w:t>
      </w:r>
    </w:p>
    <w:p w14:paraId="3B9C1F70">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250E8486">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zh-CN"/>
        </w:rPr>
        <w:t xml:space="preserve"> </w:t>
      </w:r>
      <w:r>
        <w:rPr>
          <w:rFonts w:hint="eastAsia" w:ascii="宋体" w:hAnsi="宋体" w:eastAsia="宋体" w:cs="宋体"/>
          <w:color w:val="000000"/>
          <w:sz w:val="24"/>
          <w:szCs w:val="24"/>
          <w:lang w:val="zh-CN"/>
        </w:rPr>
        <w:t xml:space="preserve">    </w:t>
      </w:r>
    </w:p>
    <w:p w14:paraId="41729E2D">
      <w:pPr>
        <w:adjustRightInd w:val="0"/>
        <w:snapToGrid w:val="0"/>
        <w:spacing w:line="360" w:lineRule="auto"/>
        <w:ind w:firstLine="482" w:firstLineChars="200"/>
        <w:outlineLvl w:val="0"/>
        <w:rPr>
          <w:rFonts w:hint="eastAsia" w:ascii="宋体" w:hAnsi="宋体" w:eastAsia="宋体" w:cs="宋体"/>
          <w:b/>
          <w:bCs/>
          <w:color w:val="000000"/>
          <w:sz w:val="24"/>
          <w:szCs w:val="24"/>
        </w:rPr>
      </w:pPr>
      <w:bookmarkStart w:id="9" w:name="_Toc30822"/>
      <w:bookmarkStart w:id="10" w:name="_Toc21460"/>
      <w:bookmarkStart w:id="11" w:name="_Toc24549"/>
      <w:r>
        <w:rPr>
          <w:rFonts w:hint="eastAsia" w:ascii="宋体" w:hAnsi="宋体" w:eastAsia="宋体" w:cs="宋体"/>
          <w:b/>
          <w:bCs/>
          <w:color w:val="000000"/>
          <w:sz w:val="24"/>
          <w:szCs w:val="24"/>
        </w:rPr>
        <w:t>二、承包方式及材料供应方式：</w:t>
      </w:r>
      <w:bookmarkEnd w:id="9"/>
      <w:bookmarkEnd w:id="10"/>
      <w:bookmarkEnd w:id="11"/>
    </w:p>
    <w:p w14:paraId="7F119A34">
      <w:pPr>
        <w:pStyle w:val="3"/>
        <w:adjustRightInd w:val="0"/>
        <w:snapToGrid w:val="0"/>
        <w:spacing w:line="360" w:lineRule="auto"/>
        <w:ind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rPr>
        <w:t>（一）承包方式：包工包料。</w:t>
      </w:r>
    </w:p>
    <w:p w14:paraId="150BF0F3">
      <w:pPr>
        <w:adjustRightInd w:val="0"/>
        <w:snapToGrid w:val="0"/>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（二）材料供应方式：本工程所需材料由乙方采购的，所有进场材料必须符合产品质量及规范要求，并按规定进行材料复验，并能满足工程项目设计要求及有关行业特殊使用要求。</w:t>
      </w:r>
    </w:p>
    <w:p w14:paraId="048163AB">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（三）所有材料，成品，半成品均应有产品合格证及检验报告，须经现场甲方代表及监理工程师检查验收，报验合格方可进场，无质量证明文件的产品不得用于本项目工程。</w:t>
      </w:r>
    </w:p>
    <w:p w14:paraId="35100480">
      <w:pPr>
        <w:adjustRightInd w:val="0"/>
        <w:snapToGrid w:val="0"/>
        <w:spacing w:line="360" w:lineRule="auto"/>
        <w:ind w:firstLine="482" w:firstLineChars="200"/>
        <w:outlineLvl w:val="0"/>
        <w:rPr>
          <w:rFonts w:hint="eastAsia" w:ascii="宋体" w:hAnsi="宋体" w:eastAsia="宋体" w:cs="宋体"/>
          <w:b/>
          <w:bCs/>
          <w:color w:val="000000"/>
          <w:sz w:val="24"/>
          <w:szCs w:val="24"/>
        </w:rPr>
      </w:pPr>
      <w:bookmarkStart w:id="12" w:name="_Toc433"/>
      <w:bookmarkStart w:id="13" w:name="_Toc15907"/>
      <w:bookmarkStart w:id="14" w:name="_Toc59"/>
      <w:r>
        <w:rPr>
          <w:rFonts w:hint="eastAsia" w:ascii="宋体" w:hAnsi="宋体" w:eastAsia="宋体" w:cs="宋体"/>
          <w:b/>
          <w:bCs/>
          <w:color w:val="000000"/>
          <w:sz w:val="24"/>
          <w:szCs w:val="24"/>
        </w:rPr>
        <w:t>三、合同价款</w:t>
      </w:r>
      <w:bookmarkEnd w:id="12"/>
      <w:bookmarkEnd w:id="13"/>
      <w:bookmarkEnd w:id="14"/>
    </w:p>
    <w:p w14:paraId="45DE1C29">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（一）合同暂定价（成交金额）为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元（人民币）</w:t>
      </w:r>
    </w:p>
    <w:p w14:paraId="589B241D">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（二）合同价款包括完成该工程项目的直接费、间接费、利润、税金、保险费、其它费用以及合同明示或暗示的所有风险、责任和义务等全部费用。</w:t>
      </w:r>
    </w:p>
    <w:p w14:paraId="32E2DA7F">
      <w:pPr>
        <w:adjustRightInd w:val="0"/>
        <w:snapToGrid w:val="0"/>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合同价款按照中标确定的价格和合同中明确的工程范围，在工程实施过程中一次性包死。除此之外的工程范围和工程量的变动部分在征得甲方同意后实行现场签证，依照投标报价增加或扣减。结算金额最终以审计部门的审定价款为准。</w:t>
      </w:r>
    </w:p>
    <w:p w14:paraId="3E92E1D4">
      <w:pPr>
        <w:adjustRightInd w:val="0"/>
        <w:snapToGrid w:val="0"/>
        <w:spacing w:line="360" w:lineRule="auto"/>
        <w:ind w:firstLine="482" w:firstLineChars="200"/>
        <w:outlineLvl w:val="0"/>
        <w:rPr>
          <w:rFonts w:hint="eastAsia" w:ascii="宋体" w:hAnsi="宋体" w:eastAsia="宋体" w:cs="宋体"/>
          <w:b/>
          <w:bCs/>
          <w:color w:val="000000"/>
          <w:sz w:val="24"/>
          <w:szCs w:val="24"/>
          <w:highlight w:val="none"/>
        </w:rPr>
      </w:pPr>
      <w:bookmarkStart w:id="15" w:name="_Toc7902"/>
      <w:bookmarkStart w:id="16" w:name="_Toc17019"/>
      <w:bookmarkStart w:id="17" w:name="_Toc28229"/>
      <w:r>
        <w:rPr>
          <w:rFonts w:hint="eastAsia" w:ascii="宋体" w:hAnsi="宋体" w:eastAsia="宋体" w:cs="宋体"/>
          <w:b/>
          <w:bCs/>
          <w:color w:val="000000"/>
          <w:sz w:val="24"/>
          <w:szCs w:val="24"/>
          <w:highlight w:val="none"/>
        </w:rPr>
        <w:t>四、付款方式</w:t>
      </w:r>
      <w:bookmarkEnd w:id="15"/>
      <w:bookmarkEnd w:id="16"/>
      <w:bookmarkEnd w:id="17"/>
    </w:p>
    <w:p w14:paraId="53E7032A">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36649181">
      <w:pPr>
        <w:adjustRightInd w:val="0"/>
        <w:snapToGrid w:val="0"/>
        <w:spacing w:line="360" w:lineRule="auto"/>
        <w:ind w:firstLine="480" w:firstLineChars="200"/>
        <w:rPr>
          <w:rFonts w:hint="default"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73C42A5A">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乙方不得因甲方资金暂时不到位而影响工期。</w:t>
      </w:r>
    </w:p>
    <w:p w14:paraId="583FB008">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2BEE975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5CB13FB5">
      <w:pPr>
        <w:autoSpaceDE w:val="0"/>
        <w:autoSpaceDN w:val="0"/>
        <w:adjustRightInd w:val="0"/>
        <w:snapToGrid w:val="0"/>
        <w:spacing w:line="360" w:lineRule="auto"/>
        <w:ind w:firstLine="472" w:firstLineChars="196"/>
        <w:outlineLvl w:val="0"/>
        <w:rPr>
          <w:rFonts w:hint="eastAsia" w:ascii="宋体" w:hAnsi="宋体" w:eastAsia="宋体" w:cs="宋体"/>
          <w:b/>
          <w:bCs/>
          <w:sz w:val="24"/>
          <w:szCs w:val="24"/>
          <w:lang w:val="zh-CN"/>
        </w:rPr>
      </w:pPr>
      <w:bookmarkStart w:id="18" w:name="_Toc19177"/>
      <w:bookmarkStart w:id="19" w:name="_Toc23291"/>
      <w:bookmarkStart w:id="20" w:name="_Toc22402"/>
      <w:r>
        <w:rPr>
          <w:rFonts w:hint="eastAsia" w:ascii="宋体" w:hAnsi="宋体" w:eastAsia="宋体" w:cs="宋体"/>
          <w:b/>
          <w:bCs/>
          <w:sz w:val="24"/>
          <w:szCs w:val="24"/>
          <w:lang w:val="zh-CN"/>
        </w:rPr>
        <w:t>五、质量保证</w:t>
      </w:r>
      <w:bookmarkEnd w:id="18"/>
      <w:bookmarkEnd w:id="19"/>
      <w:bookmarkEnd w:id="20"/>
    </w:p>
    <w:p w14:paraId="74E06AFF">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所选材料及配套产品必须保证质量可靠、进货渠道正常，符合国家环保等相关标准，满足施工要求。</w:t>
      </w:r>
    </w:p>
    <w:p w14:paraId="707CEDEC">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工程质量符合国家有关规范，确保达到合格。</w:t>
      </w:r>
    </w:p>
    <w:p w14:paraId="5B151B76">
      <w:pPr>
        <w:adjustRightInd w:val="0"/>
        <w:snapToGrid w:val="0"/>
        <w:spacing w:line="360" w:lineRule="auto"/>
        <w:ind w:firstLine="600" w:firstLineChars="249"/>
        <w:outlineLvl w:val="0"/>
        <w:rPr>
          <w:rFonts w:hint="eastAsia" w:ascii="宋体" w:hAnsi="宋体" w:eastAsia="宋体" w:cs="宋体"/>
          <w:b/>
          <w:bCs/>
          <w:color w:val="000000"/>
          <w:sz w:val="24"/>
          <w:szCs w:val="24"/>
        </w:rPr>
      </w:pPr>
      <w:bookmarkStart w:id="21" w:name="_Toc2845"/>
      <w:bookmarkStart w:id="22" w:name="_Toc4976"/>
      <w:bookmarkStart w:id="23" w:name="_Toc17522"/>
      <w:r>
        <w:rPr>
          <w:rFonts w:hint="eastAsia" w:ascii="宋体" w:hAnsi="宋体" w:eastAsia="宋体" w:cs="宋体"/>
          <w:b/>
          <w:bCs/>
          <w:color w:val="000000"/>
          <w:sz w:val="24"/>
          <w:szCs w:val="24"/>
        </w:rPr>
        <w:t>六、双方责任</w:t>
      </w:r>
      <w:bookmarkEnd w:id="21"/>
      <w:bookmarkEnd w:id="22"/>
      <w:bookmarkEnd w:id="23"/>
    </w:p>
    <w:p w14:paraId="2BF2B3D3">
      <w:pPr>
        <w:adjustRightInd w:val="0"/>
        <w:snapToGrid w:val="0"/>
        <w:spacing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color w:val="000000"/>
          <w:sz w:val="24"/>
          <w:szCs w:val="24"/>
        </w:rPr>
        <w:t>（一）甲方责任：</w:t>
      </w:r>
    </w:p>
    <w:p w14:paraId="6E2543BD">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1、甲方负责施工场地的提供，排除施工障碍的协调。</w:t>
      </w:r>
    </w:p>
    <w:p w14:paraId="22899B7D">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sz w:val="24"/>
          <w:szCs w:val="24"/>
        </w:rPr>
        <w:t>2、组织设计、</w:t>
      </w:r>
      <w:r>
        <w:rPr>
          <w:rFonts w:hint="eastAsia" w:ascii="宋体" w:hAnsi="宋体" w:eastAsia="宋体" w:cs="宋体"/>
          <w:sz w:val="24"/>
          <w:szCs w:val="24"/>
        </w:rPr>
        <w:t>施工单位进行图纸交底，负责设计图纸问题的处理，设计变更及现场签证，工程结算的审定等工作。</w:t>
      </w:r>
    </w:p>
    <w:p w14:paraId="3752BD61">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3、对工程进度、质量进行监督检查。</w:t>
      </w:r>
    </w:p>
    <w:p w14:paraId="5BA1E4BF">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4、组织有关单位对工程进行竣工验收。</w:t>
      </w:r>
    </w:p>
    <w:p w14:paraId="5C1531E8">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5、按时支付工程款。</w:t>
      </w:r>
    </w:p>
    <w:p w14:paraId="5B92E30F">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（二）乙方责任：</w:t>
      </w:r>
    </w:p>
    <w:p w14:paraId="2EFB76D6">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1、负责办理完成项目使用审批手续，负责工程安全文明施工、承担一切风险，满足甲方工程的需要。保证甲方正式投入使用，再无其他费用发生。</w:t>
      </w:r>
    </w:p>
    <w:p w14:paraId="4F3C11EA">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37B6B3B">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32D0B026">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4、隐蔽工程在覆盖前必须经甲方代表或现场监理代表验收签章后，方可进行下一道工序。</w:t>
      </w:r>
    </w:p>
    <w:p w14:paraId="23B06E5C">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56F2B4C6">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6B0A7A03">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7、工程竣工后提供竣工验收技术资料及竣工图</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1ADF08B7">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1A68EF6F">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0DA6E620">
      <w:pPr>
        <w:autoSpaceDE w:val="0"/>
        <w:autoSpaceDN w:val="0"/>
        <w:adjustRightInd w:val="0"/>
        <w:snapToGrid w:val="0"/>
        <w:spacing w:line="360" w:lineRule="auto"/>
        <w:ind w:firstLine="472" w:firstLineChars="196"/>
        <w:outlineLvl w:val="0"/>
        <w:rPr>
          <w:rFonts w:hint="eastAsia" w:ascii="宋体" w:hAnsi="宋体" w:eastAsia="宋体" w:cs="宋体"/>
          <w:b/>
          <w:bCs/>
          <w:sz w:val="24"/>
          <w:szCs w:val="24"/>
          <w:lang w:val="zh-CN"/>
        </w:rPr>
      </w:pPr>
      <w:bookmarkStart w:id="24" w:name="_Toc17954"/>
      <w:bookmarkStart w:id="25" w:name="_Toc3548"/>
      <w:bookmarkStart w:id="26" w:name="_Toc17523"/>
      <w:r>
        <w:rPr>
          <w:rFonts w:hint="eastAsia" w:ascii="宋体" w:hAnsi="宋体" w:eastAsia="宋体" w:cs="宋体"/>
          <w:b/>
          <w:bCs/>
          <w:sz w:val="24"/>
          <w:szCs w:val="24"/>
          <w:lang w:val="zh-CN"/>
        </w:rPr>
        <w:t>七、验收</w:t>
      </w:r>
      <w:bookmarkEnd w:id="24"/>
      <w:bookmarkEnd w:id="25"/>
      <w:bookmarkEnd w:id="26"/>
    </w:p>
    <w:p w14:paraId="06C688B4">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45020C3D">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1086D34D">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2828D8E2">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7B2FD9DC">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磋商</w:t>
      </w:r>
      <w:r>
        <w:rPr>
          <w:rFonts w:hint="eastAsia" w:ascii="宋体" w:hAnsi="宋体" w:eastAsia="宋体" w:cs="宋体"/>
          <w:sz w:val="24"/>
          <w:szCs w:val="24"/>
          <w:lang w:val="zh-CN"/>
        </w:rPr>
        <w:t>文件、</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2319D66E">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565BC48A">
      <w:pPr>
        <w:adjustRightInd w:val="0"/>
        <w:snapToGrid w:val="0"/>
        <w:spacing w:line="360" w:lineRule="auto"/>
        <w:ind w:firstLine="482" w:firstLineChars="200"/>
        <w:jc w:val="left"/>
        <w:outlineLvl w:val="0"/>
        <w:rPr>
          <w:rFonts w:hint="eastAsia" w:ascii="宋体" w:hAnsi="宋体" w:eastAsia="宋体" w:cs="宋体"/>
          <w:b/>
          <w:bCs/>
          <w:color w:val="000000"/>
          <w:sz w:val="24"/>
          <w:szCs w:val="24"/>
        </w:rPr>
      </w:pPr>
      <w:bookmarkStart w:id="27" w:name="_Toc2115"/>
      <w:bookmarkStart w:id="28" w:name="_Toc30275"/>
      <w:bookmarkStart w:id="29" w:name="_Toc28082"/>
      <w:r>
        <w:rPr>
          <w:rFonts w:hint="eastAsia" w:ascii="宋体" w:hAnsi="宋体" w:eastAsia="宋体" w:cs="宋体"/>
          <w:b/>
          <w:bCs/>
          <w:color w:val="000000"/>
          <w:sz w:val="24"/>
          <w:szCs w:val="24"/>
        </w:rPr>
        <w:t>八、工程保修</w:t>
      </w:r>
      <w:bookmarkEnd w:id="27"/>
      <w:bookmarkEnd w:id="28"/>
      <w:bookmarkEnd w:id="29"/>
    </w:p>
    <w:p w14:paraId="3045EDD5">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7710FDEA">
      <w:pPr>
        <w:adjustRightInd w:val="0"/>
        <w:snapToGrid w:val="0"/>
        <w:spacing w:line="360" w:lineRule="auto"/>
        <w:ind w:firstLine="482" w:firstLineChars="200"/>
        <w:outlineLvl w:val="0"/>
        <w:rPr>
          <w:rFonts w:hint="eastAsia" w:ascii="宋体" w:hAnsi="宋体" w:eastAsia="宋体" w:cs="宋体"/>
          <w:b/>
          <w:bCs/>
          <w:color w:val="000000"/>
          <w:sz w:val="24"/>
          <w:szCs w:val="24"/>
        </w:rPr>
      </w:pPr>
      <w:bookmarkStart w:id="30" w:name="_Toc19011"/>
      <w:bookmarkStart w:id="31" w:name="_Toc31482"/>
      <w:bookmarkStart w:id="32" w:name="_Toc6880"/>
      <w:r>
        <w:rPr>
          <w:rFonts w:hint="eastAsia" w:ascii="宋体" w:hAnsi="宋体" w:eastAsia="宋体" w:cs="宋体"/>
          <w:b/>
          <w:bCs/>
          <w:color w:val="000000"/>
          <w:sz w:val="24"/>
          <w:szCs w:val="24"/>
        </w:rPr>
        <w:t>九、争议的解决方式</w:t>
      </w:r>
      <w:bookmarkEnd w:id="30"/>
      <w:bookmarkEnd w:id="31"/>
      <w:bookmarkEnd w:id="32"/>
    </w:p>
    <w:p w14:paraId="64D06DFA">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20A4BA90">
      <w:pPr>
        <w:adjustRightInd w:val="0"/>
        <w:snapToGrid w:val="0"/>
        <w:spacing w:line="360" w:lineRule="auto"/>
        <w:ind w:firstLine="482" w:firstLineChars="200"/>
        <w:outlineLvl w:val="0"/>
        <w:rPr>
          <w:rFonts w:hint="eastAsia" w:ascii="宋体" w:hAnsi="宋体" w:eastAsia="宋体" w:cs="宋体"/>
          <w:b/>
          <w:bCs/>
          <w:color w:val="000000"/>
          <w:sz w:val="24"/>
          <w:szCs w:val="24"/>
        </w:rPr>
      </w:pPr>
      <w:bookmarkStart w:id="33" w:name="_Toc27268"/>
      <w:bookmarkStart w:id="34" w:name="_Toc1360"/>
      <w:bookmarkStart w:id="35" w:name="_Toc9285"/>
      <w:r>
        <w:rPr>
          <w:rFonts w:hint="eastAsia" w:ascii="宋体" w:hAnsi="宋体" w:eastAsia="宋体" w:cs="宋体"/>
          <w:b/>
          <w:bCs/>
          <w:color w:val="000000"/>
          <w:sz w:val="24"/>
          <w:szCs w:val="24"/>
        </w:rPr>
        <w:t>十、其他</w:t>
      </w:r>
      <w:bookmarkEnd w:id="33"/>
      <w:bookmarkEnd w:id="34"/>
      <w:bookmarkEnd w:id="35"/>
    </w:p>
    <w:p w14:paraId="5E919C6F">
      <w:pPr>
        <w:adjustRightInd w:val="0"/>
        <w:snapToGrid w:val="0"/>
        <w:spacing w:line="360" w:lineRule="auto"/>
        <w:ind w:firstLine="660"/>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一)实际签订合同时，以《建设工程施工合同（示范文本，含保修书）》（GF-1999-0201）为基础，按采购监管部门相关要求确定施工承包合同最终文本和格式</w:t>
      </w:r>
      <w:r>
        <w:rPr>
          <w:rFonts w:hint="eastAsia" w:ascii="宋体" w:hAnsi="宋体" w:eastAsia="宋体" w:cs="宋体"/>
          <w:color w:val="auto"/>
          <w:sz w:val="24"/>
          <w:szCs w:val="24"/>
        </w:rPr>
        <w:t>；其实质条款和内容须与本项目招标及投标文件一致。</w:t>
      </w:r>
    </w:p>
    <w:p w14:paraId="3881A4C8">
      <w:pPr>
        <w:adjustRightInd w:val="0"/>
        <w:snapToGrid w:val="0"/>
        <w:spacing w:line="360" w:lineRule="auto"/>
        <w:ind w:firstLine="660"/>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03620186">
      <w:pPr>
        <w:adjustRightInd w:val="0"/>
        <w:snapToGrid w:val="0"/>
        <w:spacing w:line="360" w:lineRule="auto"/>
        <w:ind w:firstLine="482" w:firstLineChars="200"/>
        <w:outlineLvl w:val="0"/>
        <w:rPr>
          <w:rFonts w:hint="eastAsia" w:ascii="宋体" w:hAnsi="宋体" w:eastAsia="宋体" w:cs="宋体"/>
          <w:b/>
          <w:bCs/>
          <w:color w:val="000000"/>
          <w:sz w:val="24"/>
          <w:szCs w:val="24"/>
        </w:rPr>
      </w:pPr>
      <w:bookmarkStart w:id="36" w:name="_Toc17009"/>
      <w:bookmarkStart w:id="37" w:name="_Toc16448"/>
      <w:bookmarkStart w:id="38" w:name="_Toc28290"/>
      <w:r>
        <w:rPr>
          <w:rFonts w:hint="eastAsia" w:ascii="宋体" w:hAnsi="宋体" w:eastAsia="宋体" w:cs="宋体"/>
          <w:b/>
          <w:bCs/>
          <w:color w:val="000000"/>
          <w:sz w:val="24"/>
          <w:szCs w:val="24"/>
        </w:rPr>
        <w:t>十一、附则</w:t>
      </w:r>
      <w:bookmarkEnd w:id="36"/>
      <w:bookmarkEnd w:id="37"/>
      <w:bookmarkEnd w:id="38"/>
    </w:p>
    <w:p w14:paraId="42CFBAB9">
      <w:pPr>
        <w:tabs>
          <w:tab w:val="left" w:pos="0"/>
        </w:tabs>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采购代理机构壹份</w:t>
      </w:r>
      <w:r>
        <w:rPr>
          <w:rFonts w:hint="eastAsia" w:ascii="宋体" w:hAnsi="宋体" w:eastAsia="宋体" w:cs="宋体"/>
          <w:color w:val="000000"/>
          <w:sz w:val="24"/>
          <w:szCs w:val="24"/>
        </w:rPr>
        <w:t>。</w:t>
      </w:r>
    </w:p>
    <w:p w14:paraId="47BBC5A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p w14:paraId="6010B208">
      <w:pPr>
        <w:spacing w:line="276" w:lineRule="auto"/>
        <w:ind w:firstLine="480" w:firstLineChars="200"/>
        <w:rPr>
          <w:rFonts w:hint="eastAsia" w:ascii="宋体" w:hAnsi="宋体" w:eastAsia="宋体" w:cs="宋体"/>
          <w:sz w:val="24"/>
          <w:szCs w:val="24"/>
        </w:rPr>
      </w:pPr>
    </w:p>
    <w:p w14:paraId="0685B8FB">
      <w:pPr>
        <w:spacing w:line="276" w:lineRule="auto"/>
        <w:ind w:firstLine="480" w:firstLineChars="200"/>
        <w:rPr>
          <w:rFonts w:hint="eastAsia" w:ascii="宋体" w:hAnsi="宋体" w:eastAsia="宋体" w:cs="宋体"/>
          <w:sz w:val="24"/>
          <w:szCs w:val="24"/>
        </w:rPr>
      </w:pPr>
    </w:p>
    <w:p w14:paraId="1CFE3927">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甲方(盖章)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乙方(盖章) </w:t>
      </w:r>
    </w:p>
    <w:p w14:paraId="6E4599A2">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法人代表(签字)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法人代表(签字) </w:t>
      </w:r>
    </w:p>
    <w:p w14:paraId="7DCE35A7">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委托代理人: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委托代理人: </w:t>
      </w:r>
    </w:p>
    <w:p w14:paraId="5870FEE8">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p>
    <w:p w14:paraId="529B3E1B">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p>
    <w:p w14:paraId="05934214">
      <w:pPr>
        <w:keepNext w:val="0"/>
        <w:keepLines w:val="0"/>
        <w:pageBreakBefore w:val="0"/>
        <w:widowControl/>
        <w:kinsoku/>
        <w:wordWrap/>
        <w:overflowPunct/>
        <w:topLinePunct w:val="0"/>
        <w:autoSpaceDE/>
        <w:autoSpaceDN/>
        <w:bidi w:val="0"/>
        <w:spacing w:line="360" w:lineRule="auto"/>
        <w:ind w:firstLine="560" w:firstLineChars="200"/>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xml:space="preserve"> </w:t>
      </w:r>
    </w:p>
    <w:p w14:paraId="24EE1AA0">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签订日期：  年</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日</w:t>
      </w:r>
    </w:p>
    <w:p w14:paraId="72793D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046191"/>
    <w:rsid w:val="3404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2026-07-03T01:06:00Z</dcterms:created>
  <dc:creator>伴黄昏。</dc:creator>
  <cp:lastModifiedBy>伴黄昏。</cp:lastModifiedBy>
  <dcterms:modified xsi:type="dcterms:W3CDTF">2026-07-03T01:06:23Z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8882235BB5FF43B3AC06E401B3DC3352_11</vt:lpwstr>
  </property>
  <property fmtid="{D5CDD505-2E9C-101B-9397-08002B2CF9AE}" pid="4" name="KSOTemplateDocerSaveRecord">
    <vt:lpwstr>eyJoZGlkIjoiMmMyZWRiOGIxM2NkYmNiNjJhMDdlMDhmN2UyMTk5ZjQiLCJ1c2VySWQiOiIzMzQzMTkyMTYifQ==</vt:lpwstr>
  </property>
</Properties>
</file>