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版本号：JZDCG-2026-04320260829002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2026-2027学年校方责任保险服务采购项目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JZDCG-2026-043</w:t>
      </w:r>
      <w:r>
        <w:br/>
      </w:r>
      <w:r>
        <w:br/>
      </w:r>
      <w:r>
        <w:br/>
      </w:r>
    </w:p>
    <w:p>
      <w:pPr>
        <w:pStyle w:val="null3"/>
        <w:jc w:val="center"/>
        <w:outlineLvl w:val="2"/>
      </w:pPr>
      <w:r>
        <w:rPr>
          <w:rFonts w:ascii="仿宋_GB2312" w:hAnsi="仿宋_GB2312" w:cs="仿宋_GB2312" w:eastAsia="仿宋_GB2312"/>
          <w:sz w:val="28"/>
          <w:b/>
        </w:rPr>
        <w:t>蒲城县教育体育局</w:t>
      </w:r>
    </w:p>
    <w:p>
      <w:pPr>
        <w:pStyle w:val="null3"/>
        <w:jc w:val="center"/>
        <w:outlineLvl w:val="2"/>
      </w:pPr>
      <w:r>
        <w:rPr>
          <w:rFonts w:ascii="仿宋_GB2312" w:hAnsi="仿宋_GB2312" w:cs="仿宋_GB2312" w:eastAsia="仿宋_GB2312"/>
          <w:sz w:val="28"/>
          <w:b/>
        </w:rPr>
        <w:t>陕西金准达项目管理有限责任公司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陕西金准达项目管理有限责任公司</w:t>
      </w:r>
      <w:r>
        <w:rPr>
          <w:rFonts w:ascii="仿宋_GB2312" w:hAnsi="仿宋_GB2312" w:cs="仿宋_GB2312" w:eastAsia="仿宋_GB2312"/>
        </w:rPr>
        <w:t>（以下简称“代理机构”）受</w:t>
      </w:r>
      <w:r>
        <w:rPr>
          <w:rFonts w:ascii="仿宋_GB2312" w:hAnsi="仿宋_GB2312" w:cs="仿宋_GB2312" w:eastAsia="仿宋_GB2312"/>
        </w:rPr>
        <w:t>蒲城县教育体育局</w:t>
      </w:r>
      <w:r>
        <w:rPr>
          <w:rFonts w:ascii="仿宋_GB2312" w:hAnsi="仿宋_GB2312" w:cs="仿宋_GB2312" w:eastAsia="仿宋_GB2312"/>
        </w:rPr>
        <w:t>委托，拟对</w:t>
      </w:r>
      <w:r>
        <w:rPr>
          <w:rFonts w:ascii="仿宋_GB2312" w:hAnsi="仿宋_GB2312" w:cs="仿宋_GB2312" w:eastAsia="仿宋_GB2312"/>
        </w:rPr>
        <w:t>2026-2027学年校方责任保险服务采购项目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JZDCG-2026-043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2026-2027学年校方责任保险服务采购项目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建立完善校园意外伤害事故风险管理机制，保障学生合法权益，降低学校安全责任风险，保障教育安全稳定发展，现实施2026-2027学年校方责任保险服务采购项目。共分为3个采购包，采购包1为蒲城县幼儿园在籍学生（约14000人）及全县（幼儿园、义务段、高、中职段）教职工（约7000人）投保，初步预算518000.00元；采购包2为蒲城县城区义务段在籍学生（约45600人）投保，初步预算547200.00元；采购包3为农村义务段及全县高、中职学生（约35000人）投保，初步预算420000.00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法人或者其他组织的营业执照等证明文件或者自然人身份证明（本项目属于保险行业，允许法人的分支机构参加投标，分支机构参加投标的须提供总公司针对本项目的授权书及总公司的营业执照。）</w:t>
      </w:r>
    </w:p>
    <w:p>
      <w:pPr>
        <w:pStyle w:val="null3"/>
      </w:pPr>
      <w:r>
        <w:rPr>
          <w:rFonts w:ascii="仿宋_GB2312" w:hAnsi="仿宋_GB2312" w:cs="仿宋_GB2312" w:eastAsia="仿宋_GB2312"/>
        </w:rPr>
        <w:t>2、社会保障资金缴纳证明：自2026年02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p>
      <w:pPr>
        <w:pStyle w:val="null3"/>
      </w:pPr>
      <w:r>
        <w:rPr>
          <w:rFonts w:ascii="仿宋_GB2312" w:hAnsi="仿宋_GB2312" w:cs="仿宋_GB2312" w:eastAsia="仿宋_GB2312"/>
        </w:rPr>
        <w:t>3、税收缴纳证明：自2026年02月01日以来已缴存的至少一个月的纳税证明或完税证明，纳税证明或完税证明上应有代收机构或税务机关的公章或业务专用章。依法免税的供应商应提供相关文件证明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信用查询：未被列入“信用中国”网站（www.creditchina.gov.cn）失信被执行人和重大税收违法案件当事人名单，不得为“中国政府采购网”(www.ccgp.gov.cn)政府采购严重违法失信行为记录名单中禁止参加政府采购活动的供应商</w:t>
      </w:r>
    </w:p>
    <w:p>
      <w:pPr>
        <w:pStyle w:val="null3"/>
      </w:pPr>
      <w:r>
        <w:rPr>
          <w:rFonts w:ascii="仿宋_GB2312" w:hAnsi="仿宋_GB2312" w:cs="仿宋_GB2312" w:eastAsia="仿宋_GB2312"/>
        </w:rPr>
        <w:t>5、法定代表人授权委托书：法定代表人参加磋商的，须提供法定代表人身份证明书；法定代表人授权他人参加磋商的，须提供法定代表人委托授权书</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8、资质要求：供应商必须具有国家金融监督管理总局（原银保监会、原保监会）核发的有效《保险许可证》或新版《金融许可证》</w:t>
      </w:r>
    </w:p>
    <w:p>
      <w:pPr>
        <w:pStyle w:val="null3"/>
      </w:pPr>
      <w:r>
        <w:rPr>
          <w:rFonts w:ascii="仿宋_GB2312" w:hAnsi="仿宋_GB2312" w:cs="仿宋_GB2312" w:eastAsia="仿宋_GB2312"/>
        </w:rPr>
        <w:t>9、本项目不接受联合体磋商：提供非联合体声明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证明：法人或者其他组织的营业执照等证明文件或者自然人身份证明（本项目属于保险行业，允许法人的分支机构参加投标，分支机构参加投标的须提供总公司针对本项目的授权书及总公司的营业执照。）</w:t>
      </w:r>
    </w:p>
    <w:p>
      <w:pPr>
        <w:pStyle w:val="null3"/>
      </w:pPr>
      <w:r>
        <w:rPr>
          <w:rFonts w:ascii="仿宋_GB2312" w:hAnsi="仿宋_GB2312" w:cs="仿宋_GB2312" w:eastAsia="仿宋_GB2312"/>
        </w:rPr>
        <w:t>2、社会保障资金缴纳证明：自2026年02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p>
      <w:pPr>
        <w:pStyle w:val="null3"/>
      </w:pPr>
      <w:r>
        <w:rPr>
          <w:rFonts w:ascii="仿宋_GB2312" w:hAnsi="仿宋_GB2312" w:cs="仿宋_GB2312" w:eastAsia="仿宋_GB2312"/>
        </w:rPr>
        <w:t>3、税收缴纳证明：自2026年02月01日以来已缴存的至少一个月的纳税证明或完税证明，纳税证明或完税证明上应有代收机构或税务机关的公章或业务专用章。依法免税的供应商应提供相关文件证明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信用查询：未被列入“信用中国”网站（www.creditchina.gov.cn）失信被执行人和重大税收违法案件当事人名单，不得为“中国政府采购网”(www.ccgp.gov.cn)政府采购严重违法失信行为记录名单中禁止参加政府采购活动的供应商</w:t>
      </w:r>
    </w:p>
    <w:p>
      <w:pPr>
        <w:pStyle w:val="null3"/>
      </w:pPr>
      <w:r>
        <w:rPr>
          <w:rFonts w:ascii="仿宋_GB2312" w:hAnsi="仿宋_GB2312" w:cs="仿宋_GB2312" w:eastAsia="仿宋_GB2312"/>
        </w:rPr>
        <w:t>5、法定代表人授权委托书：法定代表人参加磋商的，须提供法定代表人身份证明书；法定代表人授权他人参加磋商的，须提供法定代表人委托授权书</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8、资质要求：供应商必须具有国家金融监督管理总局（原银保监会、原保监会）核发的有效《保险许可证》或新版《金融许可证》</w:t>
      </w:r>
    </w:p>
    <w:p>
      <w:pPr>
        <w:pStyle w:val="null3"/>
      </w:pPr>
      <w:r>
        <w:rPr>
          <w:rFonts w:ascii="仿宋_GB2312" w:hAnsi="仿宋_GB2312" w:cs="仿宋_GB2312" w:eastAsia="仿宋_GB2312"/>
        </w:rPr>
        <w:t>9、本项目不接受联合体磋商：提供非联合体声明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资格证明：法人或者其他组织的营业执照等证明文件或者自然人身份证明（本项目属于保险行业，允许法人的分支机构参加投标，分支机构参加投标的须提供总公司针对本项目的授权书及总公司的营业执照。）</w:t>
      </w:r>
    </w:p>
    <w:p>
      <w:pPr>
        <w:pStyle w:val="null3"/>
      </w:pPr>
      <w:r>
        <w:rPr>
          <w:rFonts w:ascii="仿宋_GB2312" w:hAnsi="仿宋_GB2312" w:cs="仿宋_GB2312" w:eastAsia="仿宋_GB2312"/>
        </w:rPr>
        <w:t>2、社会保障资金缴纳证明：自2026年02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p>
      <w:pPr>
        <w:pStyle w:val="null3"/>
      </w:pPr>
      <w:r>
        <w:rPr>
          <w:rFonts w:ascii="仿宋_GB2312" w:hAnsi="仿宋_GB2312" w:cs="仿宋_GB2312" w:eastAsia="仿宋_GB2312"/>
        </w:rPr>
        <w:t>3、税收缴纳证明：自2026年02月01日以来已缴存的至少一个月的纳税证明或完税证明，纳税证明或完税证明上应有代收机构或税务机关的公章或业务专用章。依法免税的供应商应提供相关文件证明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信用查询：未被列入“信用中国”网站（www.creditchina.gov.cn）失信被执行人和重大税收违法案件当事人名单，不得为“中国政府采购网”(www.ccgp.gov.cn)政府采购严重违法失信行为记录名单中禁止参加政府采购活动的供应商</w:t>
      </w:r>
    </w:p>
    <w:p>
      <w:pPr>
        <w:pStyle w:val="null3"/>
      </w:pPr>
      <w:r>
        <w:rPr>
          <w:rFonts w:ascii="仿宋_GB2312" w:hAnsi="仿宋_GB2312" w:cs="仿宋_GB2312" w:eastAsia="仿宋_GB2312"/>
        </w:rPr>
        <w:t>5、法定代表人授权委托书：法定代表人参加磋商的，须提供法定代表人身份证明书；法定代表人授权他人参加磋商的，须提供法定代表人委托授权书</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8、资质要求：供应商必须具有国家金融监督管理总局（原银保监会、原保监会）核发的有效《保险许可证》或新版《金融许可证》</w:t>
      </w:r>
    </w:p>
    <w:p>
      <w:pPr>
        <w:pStyle w:val="null3"/>
      </w:pPr>
      <w:r>
        <w:rPr>
          <w:rFonts w:ascii="仿宋_GB2312" w:hAnsi="仿宋_GB2312" w:cs="仿宋_GB2312" w:eastAsia="仿宋_GB2312"/>
        </w:rPr>
        <w:t>9、本项目不接受联合体磋商：提供非联合体声明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蒲城县尧山路西段14号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党恩奇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0913-7213239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陕西金准达项目管理有限责任公司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陕西省西安市高新区科技五路橡树星座B座902室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王军、曹莹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029-89555599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采购包1：518,000.00元</w:t>
            </w:r>
          </w:p>
          <w:p>
            <w:pPr>
              <w:pStyle w:val="null3"/>
            </w:pPr>
            <w:r>
              <w:rPr>
                <w:rFonts w:ascii="仿宋_GB2312" w:hAnsi="仿宋_GB2312" w:cs="仿宋_GB2312" w:eastAsia="仿宋_GB2312"/>
              </w:rPr>
              <w:t>采购包2：547,200.00元</w:t>
            </w:r>
          </w:p>
          <w:p>
            <w:pPr>
              <w:pStyle w:val="null3"/>
            </w:pPr>
            <w:r>
              <w:rPr>
                <w:rFonts w:ascii="仿宋_GB2312" w:hAnsi="仿宋_GB2312" w:cs="仿宋_GB2312" w:eastAsia="仿宋_GB2312"/>
              </w:rPr>
              <w:t>采购包3：420,000.00元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采购包2保证金金额：7,000.00元</w:t>
            </w:r>
          </w:p>
          <w:p>
            <w:pPr>
              <w:pStyle w:val="null3"/>
            </w:pPr>
            <w:r>
              <w:rPr>
                <w:rFonts w:ascii="仿宋_GB2312" w:hAnsi="仿宋_GB2312" w:cs="仿宋_GB2312" w:eastAsia="仿宋_GB2312"/>
              </w:rPr>
              <w:t>采购包3保证金金额：6,000.00元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开户名称：陕西金准达项目管理有限责任公司项目保证金专户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银行账号：129911244910001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招标代理服务收费管理暂行办法的通知》（计价格【2002】1980号）和国家发改委办公厅颁发的《关于招标代理服务收费有关问题的通知》（发改办价格【2003】857号）文件为计算依据计取，不足6000元按6000元计取。 2、代理服务费的交纳方式：由成交人在领取成交通知书前向采购代理机构一次性支付； 开户名称：陕西金准达项目管理有限责任公司 开户银行：招商银行西安分行营业部 账 号：129911244910902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蒲城县教育体育局</w:t>
      </w:r>
      <w:r>
        <w:rPr>
          <w:rFonts w:ascii="仿宋_GB2312" w:hAnsi="仿宋_GB2312" w:cs="仿宋_GB2312" w:eastAsia="仿宋_GB2312"/>
        </w:rPr>
        <w:t>和</w:t>
      </w:r>
      <w:r>
        <w:rPr>
          <w:rFonts w:ascii="仿宋_GB2312" w:hAnsi="仿宋_GB2312" w:cs="仿宋_GB2312" w:eastAsia="仿宋_GB2312"/>
        </w:rPr>
        <w:t>陕西金准达项目管理有限责任公司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陕西金准达项目管理有限责任公司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陕西金准达项目管理有限责任公司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按照采购合同约定执行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项目完成后，乙方准备验收资料，向甲方提出验收申请，甲方组织相关人员进行验收。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项目完成后，乙方准备验收资料，向甲方提出验收申请，甲方组织相关人员进行验收。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项目完成后，乙方准备验收资料，向甲方提出验收申请，甲方组织相关人员进行验收。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联系人：王军、曹莹</w:t>
      </w:r>
    </w:p>
    <w:p>
      <w:pPr>
        <w:pStyle w:val="null3"/>
      </w:pPr>
      <w:r>
        <w:rPr>
          <w:rFonts w:ascii="仿宋_GB2312" w:hAnsi="仿宋_GB2312" w:cs="仿宋_GB2312" w:eastAsia="仿宋_GB2312"/>
        </w:rPr>
        <w:t>联系电话：029-89555599</w:t>
      </w:r>
    </w:p>
    <w:p>
      <w:pPr>
        <w:pStyle w:val="null3"/>
      </w:pPr>
      <w:r>
        <w:rPr>
          <w:rFonts w:ascii="仿宋_GB2312" w:hAnsi="仿宋_GB2312" w:cs="仿宋_GB2312" w:eastAsia="仿宋_GB2312"/>
        </w:rPr>
        <w:t>地址：陕西省西安市高新区科技五路3号橡树星座B座902室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建立完善校园意外伤害事故风险管理机制，保障学生合法权益，降低学校安全责任风险，保障教育安全稳定发展，现实施2026-2027学年校方责任保险服务采购项目。共分为3个采购包，采购包1为蒲城县幼儿园在籍学生（约14000人）及全县（幼儿园、义务段、高、中职段）教职工（约7000人）投保，初步预算518000.00元；采购包2为蒲城县城区义务段在籍学生（约45600人）投保，初步预算547200.00元；采购包3为农村义务段及全县高、中职学生（约35000人）投保，初步预算420000.00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518,000.00</w:t>
      </w:r>
    </w:p>
    <w:p>
      <w:pPr>
        <w:pStyle w:val="null3"/>
      </w:pPr>
      <w:r>
        <w:rPr>
          <w:rFonts w:ascii="仿宋_GB2312" w:hAnsi="仿宋_GB2312" w:cs="仿宋_GB2312" w:eastAsia="仿宋_GB2312"/>
        </w:rPr>
        <w:t>采购包最高限价（元）: 518,000.00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蒲城县幼儿园在籍学生及全县（幼儿园、义务段、全县高、中职段）教职工投保</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547,200.00</w:t>
      </w:r>
    </w:p>
    <w:p>
      <w:pPr>
        <w:pStyle w:val="null3"/>
      </w:pPr>
      <w:r>
        <w:rPr>
          <w:rFonts w:ascii="仿宋_GB2312" w:hAnsi="仿宋_GB2312" w:cs="仿宋_GB2312" w:eastAsia="仿宋_GB2312"/>
        </w:rPr>
        <w:t>采购包最高限价（元）: 547,200.00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蒲城县城区义务段在籍学生投保</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547,200.00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蒲城县农村义务段及全县高、中职学生投保</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标的名称：蒲城县幼儿园在籍学生及全县（幼儿园、义务段、全县高、中职段）教职工投保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1、服务内容：校方责任保险主险+可选附加险承保、理赔、风险防控一体化服务。</w:t>
            </w:r>
          </w:p>
          <w:p>
            <w:pPr>
              <w:pStyle w:val="null3"/>
            </w:pPr>
            <w:r>
              <w:rPr>
                <w:rFonts w:ascii="仿宋_GB2312" w:hAnsi="仿宋_GB2312" w:cs="仿宋_GB2312" w:eastAsia="仿宋_GB2312"/>
              </w:rPr>
              <w:t>2、参保对象及人数：蒲城县幼儿园学生（约14000人）及全县（幼儿园、义务段、高、中职段）教职工（约7000人）。最终人数以2026年9月实际注册人数字为准。</w:t>
            </w:r>
          </w:p>
          <w:p>
            <w:pPr>
              <w:pStyle w:val="null3"/>
            </w:pPr>
            <w:r>
              <w:rPr>
                <w:rFonts w:ascii="仿宋_GB2312" w:hAnsi="仿宋_GB2312" w:cs="仿宋_GB2312" w:eastAsia="仿宋_GB2312"/>
              </w:rPr>
              <w:t>3、保费金额：学生按照每人12元标准；教职工按照每人50元标准。</w:t>
            </w:r>
          </w:p>
          <w:p>
            <w:pPr>
              <w:pStyle w:val="null3"/>
            </w:pPr>
            <w:r>
              <w:rPr>
                <w:rFonts w:ascii="仿宋_GB2312" w:hAnsi="仿宋_GB2312" w:cs="仿宋_GB2312" w:eastAsia="仿宋_GB2312"/>
              </w:rPr>
              <w:t>2、保险期限：2026年9月1日00时—2027年8月31日24时止。</w:t>
            </w:r>
          </w:p>
          <w:p>
            <w:pPr>
              <w:pStyle w:val="null3"/>
            </w:pPr>
            <w:r>
              <w:rPr>
                <w:rFonts w:ascii="仿宋_GB2312" w:hAnsi="仿宋_GB2312" w:cs="仿宋_GB2312" w:eastAsia="仿宋_GB2312"/>
              </w:rPr>
              <w:t>二、保险险种及保障限额</w:t>
            </w:r>
          </w:p>
          <w:p>
            <w:pPr>
              <w:pStyle w:val="null3"/>
            </w:pPr>
            <w:r>
              <w:rPr>
                <w:rFonts w:ascii="仿宋_GB2312" w:hAnsi="仿宋_GB2312" w:cs="仿宋_GB2312" w:eastAsia="仿宋_GB2312"/>
              </w:rPr>
              <w:t>（一）保险方案</w:t>
            </w:r>
          </w:p>
          <w:p>
            <w:pPr>
              <w:pStyle w:val="null3"/>
            </w:pPr>
            <w:r>
              <w:rPr>
                <w:rFonts w:ascii="仿宋_GB2312" w:hAnsi="仿宋_GB2312" w:cs="仿宋_GB2312" w:eastAsia="仿宋_GB2312"/>
              </w:rPr>
              <w:t>1、学生保险方案</w:t>
            </w:r>
          </w:p>
          <w:tbl>
            <w:tblPr>
              <w:tblInd w:type="dxa" w:w="120"/>
              <w:tblBorders>
                <w:top w:val="none" w:color="000000" w:sz="4"/>
                <w:left w:val="none" w:color="000000" w:sz="4"/>
                <w:bottom w:val="none" w:color="000000" w:sz="4"/>
                <w:right w:val="none" w:color="000000" w:sz="4"/>
                <w:insideH w:val="none"/>
                <w:insideV w:val="none"/>
              </w:tblBorders>
            </w:tblPr>
            <w:tblGrid>
              <w:gridCol w:w="573"/>
              <w:gridCol w:w="460"/>
              <w:gridCol w:w="460"/>
              <w:gridCol w:w="460"/>
              <w:gridCol w:w="599"/>
            </w:tblGrid>
            <w:tr>
              <w:tc>
                <w:tcPr>
                  <w:tcW w:type="dxa" w:w="57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保险项目</w:t>
                  </w:r>
                </w:p>
              </w:tc>
              <w:tc>
                <w:tcPr>
                  <w:tcW w:type="dxa" w:w="46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每生每年赔偿限额</w:t>
                  </w:r>
                </w:p>
                <w:p>
                  <w:pPr>
                    <w:pStyle w:val="null3"/>
                  </w:pPr>
                  <w:r>
                    <w:rPr>
                      <w:rFonts w:ascii="仿宋_GB2312" w:hAnsi="仿宋_GB2312" w:cs="仿宋_GB2312" w:eastAsia="仿宋_GB2312"/>
                      <w:sz w:val="19"/>
                    </w:rPr>
                    <w:t>（万元）</w:t>
                  </w:r>
                </w:p>
              </w:tc>
              <w:tc>
                <w:tcPr>
                  <w:tcW w:type="dxa" w:w="46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每校每次事故赔偿限额（万元）</w:t>
                  </w:r>
                </w:p>
              </w:tc>
              <w:tc>
                <w:tcPr>
                  <w:tcW w:type="dxa" w:w="46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每校每年累计赔偿限额（万元）</w:t>
                  </w:r>
                </w:p>
              </w:tc>
              <w:tc>
                <w:tcPr>
                  <w:tcW w:type="dxa" w:w="59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最高限价保费</w:t>
                  </w:r>
                </w:p>
              </w:tc>
            </w:tr>
            <w:tr>
              <w:tc>
                <w:tcPr>
                  <w:tcW w:type="dxa" w:w="5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校方责任保险</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≧70</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≧800</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≧2500</w:t>
                  </w:r>
                </w:p>
              </w:tc>
              <w:tc>
                <w:tcPr>
                  <w:tcW w:type="dxa" w:w="599"/>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12元/人·学年</w:t>
                  </w:r>
                </w:p>
              </w:tc>
            </w:tr>
            <w:tr>
              <w:tc>
                <w:tcPr>
                  <w:tcW w:type="dxa" w:w="5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附加研学旅行保险</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≧70</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≧800</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≧2500</w:t>
                  </w:r>
                </w:p>
              </w:tc>
              <w:tc>
                <w:tcPr>
                  <w:tcW w:type="dxa" w:w="599"/>
                  <w:vMerge/>
                  <w:tcBorders>
                    <w:top w:val="none" w:color="000000" w:sz="4"/>
                    <w:left w:val="none" w:color="000000" w:sz="4"/>
                    <w:bottom w:val="single" w:color="000000" w:sz="4"/>
                    <w:right w:val="single" w:color="000000" w:sz="4"/>
                  </w:tcBorders>
                </w:tcPr>
                <w:p/>
              </w:tc>
            </w:tr>
            <w:tr>
              <w:tc>
                <w:tcPr>
                  <w:tcW w:type="dxa" w:w="5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附加境外活动责任保险</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≧70</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≧800</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≧2500</w:t>
                  </w:r>
                </w:p>
              </w:tc>
              <w:tc>
                <w:tcPr>
                  <w:tcW w:type="dxa" w:w="599"/>
                  <w:vMerge/>
                  <w:tcBorders>
                    <w:top w:val="none" w:color="000000" w:sz="4"/>
                    <w:left w:val="none" w:color="000000" w:sz="4"/>
                    <w:bottom w:val="single" w:color="000000" w:sz="4"/>
                    <w:right w:val="single" w:color="000000" w:sz="4"/>
                  </w:tcBorders>
                </w:tcPr>
                <w:p/>
              </w:tc>
            </w:tr>
            <w:tr>
              <w:tc>
                <w:tcPr>
                  <w:tcW w:type="dxa" w:w="5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附加无过失责任保险</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≧20</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≧300</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≧800</w:t>
                  </w:r>
                </w:p>
              </w:tc>
              <w:tc>
                <w:tcPr>
                  <w:tcW w:type="dxa" w:w="599"/>
                  <w:vMerge/>
                  <w:tcBorders>
                    <w:top w:val="none" w:color="000000" w:sz="4"/>
                    <w:left w:val="none" w:color="000000" w:sz="4"/>
                    <w:bottom w:val="single" w:color="000000" w:sz="4"/>
                    <w:right w:val="single" w:color="000000" w:sz="4"/>
                  </w:tcBorders>
                </w:tcPr>
                <w:p/>
              </w:tc>
            </w:tr>
          </w:tbl>
          <w:p>
            <w:pPr>
              <w:pStyle w:val="null3"/>
            </w:pPr>
            <w:r>
              <w:rPr>
                <w:rFonts w:ascii="仿宋_GB2312" w:hAnsi="仿宋_GB2312" w:cs="仿宋_GB2312" w:eastAsia="仿宋_GB2312"/>
              </w:rPr>
              <w:t>2、教职工保险方案</w:t>
            </w:r>
          </w:p>
          <w:tbl>
            <w:tblPr>
              <w:tblInd w:type="dxa" w:w="120"/>
              <w:tblBorders>
                <w:top w:val="none" w:color="000000" w:sz="4"/>
                <w:left w:val="none" w:color="000000" w:sz="4"/>
                <w:bottom w:val="none" w:color="000000" w:sz="4"/>
                <w:right w:val="none" w:color="000000" w:sz="4"/>
                <w:insideH w:val="none"/>
                <w:insideV w:val="none"/>
              </w:tblBorders>
            </w:tblPr>
            <w:tblGrid>
              <w:gridCol w:w="486"/>
              <w:gridCol w:w="390"/>
              <w:gridCol w:w="390"/>
              <w:gridCol w:w="390"/>
              <w:gridCol w:w="507"/>
              <w:gridCol w:w="390"/>
            </w:tblGrid>
            <w:tr>
              <w:tc>
                <w:tcPr>
                  <w:tcW w:type="dxa" w:w="48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每人伤亡责任限额（万元）</w:t>
                  </w:r>
                </w:p>
              </w:tc>
              <w:tc>
                <w:tcPr>
                  <w:tcW w:type="dxa" w:w="39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每人医疗责任限额</w:t>
                  </w:r>
                </w:p>
                <w:p>
                  <w:pPr>
                    <w:pStyle w:val="null3"/>
                  </w:pPr>
                  <w:r>
                    <w:rPr>
                      <w:rFonts w:ascii="仿宋_GB2312" w:hAnsi="仿宋_GB2312" w:cs="仿宋_GB2312" w:eastAsia="仿宋_GB2312"/>
                      <w:sz w:val="19"/>
                    </w:rPr>
                    <w:t>（万元）</w:t>
                  </w:r>
                </w:p>
              </w:tc>
              <w:tc>
                <w:tcPr>
                  <w:tcW w:type="dxa" w:w="39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每人事故责任责任限额</w:t>
                  </w:r>
                </w:p>
                <w:p>
                  <w:pPr>
                    <w:pStyle w:val="null3"/>
                  </w:pPr>
                  <w:r>
                    <w:rPr>
                      <w:rFonts w:ascii="仿宋_GB2312" w:hAnsi="仿宋_GB2312" w:cs="仿宋_GB2312" w:eastAsia="仿宋_GB2312"/>
                      <w:sz w:val="19"/>
                    </w:rPr>
                    <w:t>（万元）</w:t>
                  </w:r>
                </w:p>
              </w:tc>
              <w:tc>
                <w:tcPr>
                  <w:tcW w:type="dxa" w:w="39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累计责任</w:t>
                  </w:r>
                </w:p>
                <w:p>
                  <w:pPr>
                    <w:pStyle w:val="null3"/>
                  </w:pPr>
                  <w:r>
                    <w:rPr>
                      <w:rFonts w:ascii="仿宋_GB2312" w:hAnsi="仿宋_GB2312" w:cs="仿宋_GB2312" w:eastAsia="仿宋_GB2312"/>
                      <w:sz w:val="19"/>
                    </w:rPr>
                    <w:t>限额</w:t>
                  </w:r>
                </w:p>
                <w:p>
                  <w:pPr>
                    <w:pStyle w:val="null3"/>
                  </w:pPr>
                  <w:r>
                    <w:rPr>
                      <w:rFonts w:ascii="仿宋_GB2312" w:hAnsi="仿宋_GB2312" w:cs="仿宋_GB2312" w:eastAsia="仿宋_GB2312"/>
                      <w:sz w:val="19"/>
                    </w:rPr>
                    <w:t>（万元）</w:t>
                  </w:r>
                </w:p>
              </w:tc>
              <w:tc>
                <w:tcPr>
                  <w:tcW w:type="dxa" w:w="50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最高限价保费</w:t>
                  </w:r>
                </w:p>
              </w:tc>
            </w:tr>
            <w:tr>
              <w:tc>
                <w:tcPr>
                  <w:tcW w:type="dxa" w:w="4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≧45</w:t>
                  </w:r>
                </w:p>
              </w:tc>
              <w:tc>
                <w:tcPr>
                  <w:tcW w:type="dxa" w:w="3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≧5</w:t>
                  </w:r>
                </w:p>
              </w:tc>
              <w:tc>
                <w:tcPr>
                  <w:tcW w:type="dxa" w:w="3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≧100</w:t>
                  </w:r>
                </w:p>
              </w:tc>
              <w:tc>
                <w:tcPr>
                  <w:tcW w:type="dxa" w:w="3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≧500</w:t>
                  </w:r>
                </w:p>
              </w:tc>
              <w:tc>
                <w:tcPr>
                  <w:tcW w:type="dxa" w:w="50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50元/人·学年</w:t>
                  </w:r>
                </w:p>
              </w:tc>
              <w:tc>
                <w:tcPr>
                  <w:tcW w:type="dxa" w:w="3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≧2500</w:t>
                  </w:r>
                </w:p>
              </w:tc>
            </w:tr>
          </w:tbl>
          <w:p>
            <w:pPr>
              <w:pStyle w:val="null3"/>
            </w:pPr>
            <w:r>
              <w:rPr>
                <w:rFonts w:ascii="仿宋_GB2312" w:hAnsi="仿宋_GB2312" w:cs="仿宋_GB2312" w:eastAsia="仿宋_GB2312"/>
              </w:rPr>
              <w:t>（二）保险主险</w:t>
            </w:r>
          </w:p>
          <w:p>
            <w:pPr>
              <w:pStyle w:val="null3"/>
            </w:pPr>
            <w:r>
              <w:rPr>
                <w:rFonts w:ascii="仿宋_GB2312" w:hAnsi="仿宋_GB2312" w:cs="仿宋_GB2312" w:eastAsia="仿宋_GB2312"/>
              </w:rPr>
              <w:t>1、校方责任险：学校开展的教育教学活动（如课堂教学、实验实训等）、组织的校外活动（如社会实践、学术交流、体育比赛等）中，以及学校负有管理责任的校舍、场地、教育教学设施（实验室设备、教学器材等）、生活设施（宿舍、食堂设施等）内，发生造成在校学生人身损害的事故，依法应由学校承担的经济赔偿责任，具体情形参照《学生伤害事故处理办法》（教育部令第12号，2010年修订）执行。</w:t>
            </w:r>
          </w:p>
          <w:p>
            <w:pPr>
              <w:pStyle w:val="null3"/>
            </w:pPr>
            <w:r>
              <w:rPr>
                <w:rFonts w:ascii="仿宋_GB2312" w:hAnsi="仿宋_GB2312" w:cs="仿宋_GB2312" w:eastAsia="仿宋_GB2312"/>
              </w:rPr>
              <w:t>2、教职工责任险：保障教职工在工作时间、工作场所、上下班途中、公务外出、学校组织集体活动内因工作遭受意外伤害、罹患法定职业病，依法应由学校承担的人身伤亡赔偿责任；经保险人书面同意的诉讼费、仲裁费、律师费等法律费用一并赔付。</w:t>
            </w:r>
          </w:p>
          <w:p>
            <w:pPr>
              <w:pStyle w:val="null3"/>
            </w:pPr>
            <w:r>
              <w:rPr>
                <w:rFonts w:ascii="仿宋_GB2312" w:hAnsi="仿宋_GB2312" w:cs="仿宋_GB2312" w:eastAsia="仿宋_GB2312"/>
              </w:rPr>
              <w:t>（三）附加责任保险</w:t>
            </w:r>
          </w:p>
          <w:p>
            <w:pPr>
              <w:pStyle w:val="null3"/>
            </w:pPr>
            <w:r>
              <w:rPr>
                <w:rFonts w:ascii="仿宋_GB2312" w:hAnsi="仿宋_GB2312" w:cs="仿宋_GB2312" w:eastAsia="仿宋_GB2312"/>
              </w:rPr>
              <w:t>1、校方责任险：①附加研学旅行责任保险条款：被保险人的注册学生、交流学生或借读生由被保险人安排或者经被保险人批准，通过集体旅行、集中食宿方式开展的研究性学习和旅行体验（以下简称研学旅行）的校外教育活动过程中，因发生意外事故导致人身伤亡，依照中华人民共和国法律（港、澳、台地区除外） 应由被保险人承担的经济赔偿责任，保险人按照本附加险合同约定负责赔偿。②附加境外活动责任保险条款：被保险人的注册学生、交流学生或借读生经被保险人批准，参加由被保险人或被保险人认可的境外机构组织的学术交流、 参观访问、社会实践、教育培训等境外活动过程中，因发生意外事故导致人身伤亡，依照中华人民共和国法律（港、澳、台地区除外）应由被保险人承当的经济赔偿责任，保险人按照本附加险合同约定负责赔偿。③附加无过失责任保险条款：因发生主险或其他附加险责任范围内的事故造成学生人身伤亡，尽管被保险人已经履行了相应职责、行为并无不当，但依据判决、裁决、司法调解或行政调解，被保险人仍需对受伤害学生给予经济补偿时，保险人按照本保险合同的约定负责赔偿。④教职工责任险：教职工在校内履职期间突发疾病伤亡或遭遇意外，学校依法无赔偿责任，但基于人道主义需进行补偿的，保险公司按约定予以赔付。</w:t>
            </w:r>
          </w:p>
          <w:p>
            <w:pPr>
              <w:pStyle w:val="null3"/>
            </w:pPr>
            <w:r>
              <w:rPr>
                <w:rFonts w:ascii="仿宋_GB2312" w:hAnsi="仿宋_GB2312" w:cs="仿宋_GB2312" w:eastAsia="仿宋_GB2312"/>
              </w:rPr>
              <w:t>2、教职工责任险：教职工在校内履职期间突发疾病伤亡或遭遇意外，学校依法无赔偿责任，但基于人道主义需进行补偿的，保险公司按约定予以赔付。</w:t>
            </w:r>
          </w:p>
          <w:p>
            <w:pPr>
              <w:pStyle w:val="null3"/>
            </w:pPr>
            <w:r>
              <w:rPr>
                <w:rFonts w:ascii="仿宋_GB2312" w:hAnsi="仿宋_GB2312" w:cs="仿宋_GB2312" w:eastAsia="仿宋_GB2312"/>
              </w:rPr>
              <w:t>三、其他要求</w:t>
            </w:r>
          </w:p>
          <w:p>
            <w:pPr>
              <w:pStyle w:val="null3"/>
            </w:pPr>
            <w:r>
              <w:rPr>
                <w:rFonts w:ascii="仿宋_GB2312" w:hAnsi="仿宋_GB2312" w:cs="仿宋_GB2312" w:eastAsia="仿宋_GB2312"/>
              </w:rPr>
              <w:t>1、保单交付：合同生效后 7 个工作日内出具汇总保单、各校分户保单。</w:t>
            </w:r>
          </w:p>
          <w:p>
            <w:pPr>
              <w:pStyle w:val="null3"/>
            </w:pPr>
            <w:r>
              <w:rPr>
                <w:rFonts w:ascii="仿宋_GB2312" w:hAnsi="仿宋_GB2312" w:cs="仿宋_GB2312" w:eastAsia="仿宋_GB2312"/>
              </w:rPr>
              <w:t>2、信息保密：严格保护学生姓名、身份证号、班级等个人信息，不得外泄。</w:t>
            </w:r>
          </w:p>
          <w:p>
            <w:pPr>
              <w:pStyle w:val="null3"/>
            </w:pPr>
            <w:r>
              <w:rPr>
                <w:rFonts w:ascii="仿宋_GB2312" w:hAnsi="仿宋_GB2312" w:cs="仿宋_GB2312" w:eastAsia="仿宋_GB2312"/>
              </w:rPr>
              <w:t>3、专人对接：设立项目专属客户经理 + 理赔专员，对接教育主管部门与各校。</w:t>
            </w:r>
          </w:p>
          <w:p>
            <w:pPr>
              <w:pStyle w:val="null3"/>
            </w:pPr>
            <w:r>
              <w:rPr>
                <w:rFonts w:ascii="仿宋_GB2312" w:hAnsi="仿宋_GB2312" w:cs="仿宋_GB2312" w:eastAsia="仿宋_GB2312"/>
              </w:rPr>
              <w:t>4、协助采购人做好对被保险单位的承保宣传和培训工作。</w:t>
            </w:r>
          </w:p>
          <w:p>
            <w:pPr>
              <w:pStyle w:val="null3"/>
            </w:pPr>
            <w:r>
              <w:rPr>
                <w:rFonts w:ascii="仿宋_GB2312" w:hAnsi="仿宋_GB2312" w:cs="仿宋_GB2312" w:eastAsia="仿宋_GB2312"/>
              </w:rPr>
              <w:t>5、按照合同规定及时做好出险案件查勘和理赔工作。</w:t>
            </w:r>
          </w:p>
          <w:p>
            <w:pPr>
              <w:pStyle w:val="null3"/>
            </w:pPr>
            <w:r>
              <w:rPr>
                <w:rFonts w:ascii="仿宋_GB2312" w:hAnsi="仿宋_GB2312" w:cs="仿宋_GB2312" w:eastAsia="仿宋_GB2312"/>
              </w:rPr>
              <w:t>6、建立重大事故协调处理机制，及时配合采购人制定重大事故的赔偿处置方案，快速处理，解决纠纷。</w:t>
            </w:r>
          </w:p>
          <w:p>
            <w:pPr>
              <w:pStyle w:val="null3"/>
            </w:pPr>
            <w:r>
              <w:rPr>
                <w:rFonts w:ascii="仿宋_GB2312" w:hAnsi="仿宋_GB2312" w:cs="仿宋_GB2312" w:eastAsia="仿宋_GB2312"/>
              </w:rPr>
              <w:t>7、建立通融赔付机制，对于特殊事件，积极同采购人进行协商，妥善予以解决。</w:t>
            </w:r>
          </w:p>
          <w:p>
            <w:pPr>
              <w:pStyle w:val="null3"/>
            </w:pPr>
            <w:r>
              <w:rPr>
                <w:rFonts w:ascii="仿宋_GB2312" w:hAnsi="仿宋_GB2312" w:cs="仿宋_GB2312" w:eastAsia="仿宋_GB2312"/>
              </w:rPr>
              <w:t>四、重要提示</w:t>
            </w:r>
          </w:p>
          <w:p>
            <w:pPr>
              <w:pStyle w:val="null3"/>
            </w:pPr>
            <w:r>
              <w:rPr>
                <w:rFonts w:ascii="仿宋_GB2312" w:hAnsi="仿宋_GB2312" w:cs="仿宋_GB2312" w:eastAsia="仿宋_GB2312"/>
              </w:rPr>
              <w:t>1、本项目保费学生按照每人12元标准；教职工按照每人50元标准。</w:t>
            </w:r>
          </w:p>
          <w:p>
            <w:pPr>
              <w:pStyle w:val="null3"/>
            </w:pPr>
            <w:r>
              <w:rPr>
                <w:rFonts w:ascii="仿宋_GB2312" w:hAnsi="仿宋_GB2312" w:cs="仿宋_GB2312" w:eastAsia="仿宋_GB2312"/>
              </w:rPr>
              <w:t>2、本项目保费以投保时实际统计人数计算，执行统一价格标准据实结算。故对各供应商报价不进行评审，供应商制作响应文件时无论是首轮报价还是二次报价，所有关于确需填写的价格（单价或总价）均按本项目预算进行填写，采购包1价格填写采购预算：518000.00元。</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标的名称：蒲城县城区义务段在籍学生投保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1、服务内容：校方责任保险主险+可选附加险承保、理赔、风险防控一体化服务。</w:t>
            </w:r>
          </w:p>
          <w:p>
            <w:pPr>
              <w:pStyle w:val="null3"/>
            </w:pPr>
            <w:r>
              <w:rPr>
                <w:rFonts w:ascii="仿宋_GB2312" w:hAnsi="仿宋_GB2312" w:cs="仿宋_GB2312" w:eastAsia="仿宋_GB2312"/>
              </w:rPr>
              <w:t>2、参保对象及人数：蒲城县城区义务段在籍学生（约45600人）。最终人数以2026年9月实际注册人数字为准。</w:t>
            </w:r>
          </w:p>
          <w:p>
            <w:pPr>
              <w:pStyle w:val="null3"/>
            </w:pPr>
            <w:r>
              <w:rPr>
                <w:rFonts w:ascii="仿宋_GB2312" w:hAnsi="仿宋_GB2312" w:cs="仿宋_GB2312" w:eastAsia="仿宋_GB2312"/>
              </w:rPr>
              <w:t>3、保费金额：学生按照每人12元标准。</w:t>
            </w:r>
          </w:p>
          <w:p>
            <w:pPr>
              <w:pStyle w:val="null3"/>
            </w:pPr>
            <w:r>
              <w:rPr>
                <w:rFonts w:ascii="仿宋_GB2312" w:hAnsi="仿宋_GB2312" w:cs="仿宋_GB2312" w:eastAsia="仿宋_GB2312"/>
              </w:rPr>
              <w:t>2、保险期限：2026年9月1日00时—2027年8月31日24时止。</w:t>
            </w:r>
          </w:p>
          <w:p>
            <w:pPr>
              <w:pStyle w:val="null3"/>
            </w:pPr>
            <w:r>
              <w:rPr>
                <w:rFonts w:ascii="仿宋_GB2312" w:hAnsi="仿宋_GB2312" w:cs="仿宋_GB2312" w:eastAsia="仿宋_GB2312"/>
              </w:rPr>
              <w:t>二、保险险种及保障限额</w:t>
            </w:r>
          </w:p>
          <w:p>
            <w:pPr>
              <w:pStyle w:val="null3"/>
            </w:pPr>
            <w:r>
              <w:rPr>
                <w:rFonts w:ascii="仿宋_GB2312" w:hAnsi="仿宋_GB2312" w:cs="仿宋_GB2312" w:eastAsia="仿宋_GB2312"/>
              </w:rPr>
              <w:t>（一）保险方案</w:t>
            </w:r>
          </w:p>
          <w:tbl>
            <w:tblPr>
              <w:tblInd w:type="dxa" w:w="120"/>
              <w:tblBorders>
                <w:top w:val="none" w:color="000000" w:sz="4"/>
                <w:left w:val="none" w:color="000000" w:sz="4"/>
                <w:bottom w:val="none" w:color="000000" w:sz="4"/>
                <w:right w:val="none" w:color="000000" w:sz="4"/>
                <w:insideH w:val="none"/>
                <w:insideV w:val="none"/>
              </w:tblBorders>
            </w:tblPr>
            <w:tblGrid>
              <w:gridCol w:w="573"/>
              <w:gridCol w:w="460"/>
              <w:gridCol w:w="460"/>
              <w:gridCol w:w="460"/>
              <w:gridCol w:w="599"/>
            </w:tblGrid>
            <w:tr>
              <w:tc>
                <w:tcPr>
                  <w:tcW w:type="dxa" w:w="57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保险项目</w:t>
                  </w:r>
                </w:p>
              </w:tc>
              <w:tc>
                <w:tcPr>
                  <w:tcW w:type="dxa" w:w="46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每生每年赔偿限额</w:t>
                  </w:r>
                </w:p>
                <w:p>
                  <w:pPr>
                    <w:pStyle w:val="null3"/>
                  </w:pPr>
                  <w:r>
                    <w:rPr>
                      <w:rFonts w:ascii="仿宋_GB2312" w:hAnsi="仿宋_GB2312" w:cs="仿宋_GB2312" w:eastAsia="仿宋_GB2312"/>
                      <w:sz w:val="19"/>
                    </w:rPr>
                    <w:t>（万元）</w:t>
                  </w:r>
                </w:p>
              </w:tc>
              <w:tc>
                <w:tcPr>
                  <w:tcW w:type="dxa" w:w="46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每校每次事故赔偿限额（万元）</w:t>
                  </w:r>
                </w:p>
              </w:tc>
              <w:tc>
                <w:tcPr>
                  <w:tcW w:type="dxa" w:w="46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每校每年累计赔偿限额（万元）</w:t>
                  </w:r>
                </w:p>
              </w:tc>
              <w:tc>
                <w:tcPr>
                  <w:tcW w:type="dxa" w:w="59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最高限价保费</w:t>
                  </w:r>
                </w:p>
              </w:tc>
            </w:tr>
            <w:tr>
              <w:tc>
                <w:tcPr>
                  <w:tcW w:type="dxa" w:w="5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校方责任保险</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≧70</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≧800</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≧2500</w:t>
                  </w:r>
                </w:p>
              </w:tc>
              <w:tc>
                <w:tcPr>
                  <w:tcW w:type="dxa" w:w="599"/>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12元/人·学年</w:t>
                  </w:r>
                </w:p>
              </w:tc>
            </w:tr>
            <w:tr>
              <w:tc>
                <w:tcPr>
                  <w:tcW w:type="dxa" w:w="5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附加研学旅行保险</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≧70</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≧800</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≧2500</w:t>
                  </w:r>
                </w:p>
              </w:tc>
              <w:tc>
                <w:tcPr>
                  <w:tcW w:type="dxa" w:w="599"/>
                  <w:vMerge/>
                  <w:tcBorders>
                    <w:top w:val="none" w:color="000000" w:sz="4"/>
                    <w:left w:val="none" w:color="000000" w:sz="4"/>
                    <w:bottom w:val="single" w:color="000000" w:sz="4"/>
                    <w:right w:val="single" w:color="000000" w:sz="4"/>
                  </w:tcBorders>
                </w:tcPr>
                <w:p/>
              </w:tc>
            </w:tr>
            <w:tr>
              <w:tc>
                <w:tcPr>
                  <w:tcW w:type="dxa" w:w="5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附加境外活动责任保险</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≧70</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≧800</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≧2500</w:t>
                  </w:r>
                </w:p>
              </w:tc>
              <w:tc>
                <w:tcPr>
                  <w:tcW w:type="dxa" w:w="599"/>
                  <w:vMerge/>
                  <w:tcBorders>
                    <w:top w:val="none" w:color="000000" w:sz="4"/>
                    <w:left w:val="none" w:color="000000" w:sz="4"/>
                    <w:bottom w:val="single" w:color="000000" w:sz="4"/>
                    <w:right w:val="single" w:color="000000" w:sz="4"/>
                  </w:tcBorders>
                </w:tcPr>
                <w:p/>
              </w:tc>
            </w:tr>
            <w:tr>
              <w:tc>
                <w:tcPr>
                  <w:tcW w:type="dxa" w:w="5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附加无过失责任保险</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≧20</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≧300</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≧800</w:t>
                  </w:r>
                </w:p>
              </w:tc>
              <w:tc>
                <w:tcPr>
                  <w:tcW w:type="dxa" w:w="599"/>
                  <w:vMerge/>
                  <w:tcBorders>
                    <w:top w:val="none" w:color="000000" w:sz="4"/>
                    <w:left w:val="none" w:color="000000" w:sz="4"/>
                    <w:bottom w:val="single" w:color="000000" w:sz="4"/>
                    <w:right w:val="single" w:color="000000" w:sz="4"/>
                  </w:tcBorders>
                </w:tcPr>
                <w:p/>
              </w:tc>
            </w:tr>
          </w:tbl>
          <w:p>
            <w:pPr>
              <w:pStyle w:val="null3"/>
            </w:pPr>
            <w:r>
              <w:rPr>
                <w:rFonts w:ascii="仿宋_GB2312" w:hAnsi="仿宋_GB2312" w:cs="仿宋_GB2312" w:eastAsia="仿宋_GB2312"/>
              </w:rPr>
              <w:t>（二）保险主险</w:t>
            </w:r>
          </w:p>
          <w:p>
            <w:pPr>
              <w:pStyle w:val="null3"/>
            </w:pPr>
            <w:r>
              <w:rPr>
                <w:rFonts w:ascii="仿宋_GB2312" w:hAnsi="仿宋_GB2312" w:cs="仿宋_GB2312" w:eastAsia="仿宋_GB2312"/>
              </w:rPr>
              <w:t>校方责任险：学校开展的教育教学活动（如课堂教学、实验实训等）、组织的校外活动（如社会实践、学术交流、体育比赛等）中，以及学校负有管理责任的校舍、场地、教育教学设施（实验室设备、教学器材等）、生活设施（宿舍、食堂设施等）内，发生造成在校学生人身损害的事故，依法应由学校承担的经济赔偿责任，具体情形参照《学生伤害事故处理办法》（教育部令第12号，2010年修订）执行。</w:t>
            </w:r>
          </w:p>
          <w:p>
            <w:pPr>
              <w:pStyle w:val="null3"/>
            </w:pPr>
            <w:r>
              <w:rPr>
                <w:rFonts w:ascii="仿宋_GB2312" w:hAnsi="仿宋_GB2312" w:cs="仿宋_GB2312" w:eastAsia="仿宋_GB2312"/>
              </w:rPr>
              <w:t>（三）附加责任保险</w:t>
            </w:r>
          </w:p>
          <w:p>
            <w:pPr>
              <w:pStyle w:val="null3"/>
            </w:pPr>
            <w:r>
              <w:rPr>
                <w:rFonts w:ascii="仿宋_GB2312" w:hAnsi="仿宋_GB2312" w:cs="仿宋_GB2312" w:eastAsia="仿宋_GB2312"/>
              </w:rPr>
              <w:t>1、附加研学旅行责任保险条款：被保险人的注册学生、交流学生或借读生由被保险人安排或者经被保险人批准，通过集体旅行、集中食宿方式开展的研究性学习和旅行体验（以下简称研学旅行）的校外教育活动过程中，因发生意外事故导致人身伤亡，依照中华人民共和国法律（港、澳、台地区除外） 应由被保险人承担的经济赔偿责任，保险人按照本附加险合同约定负责赔偿。2、附加境外活动责任保险条款：被保险人的注册学生、交流学生或借读生经被保险人批准，参加由被保险人或被保险人认可的境外机构组织的学术交流、 参观访问、社会实践、教育培训等境外活动过程中，因发生意外事故导致人身伤亡，依照中华人民共和国法律（港、澳、台地区除外）应由被保险人承当的经济赔偿责任，保险人按照本附加险合同约定负责赔偿。3、附加无过失责任保险条款：因发生主险或其他附加险责任范围内的事故造成学生人身伤亡，尽管被保险人已经履行了相应职责、行为并无不当，但依据判决、裁决、司法调解或行政调解，被保险人仍需对受伤害学生给予经济补偿时，保险人按照本保险合同的约定负责赔偿。</w:t>
            </w:r>
          </w:p>
          <w:p>
            <w:pPr>
              <w:pStyle w:val="null3"/>
            </w:pPr>
            <w:r>
              <w:rPr>
                <w:rFonts w:ascii="仿宋_GB2312" w:hAnsi="仿宋_GB2312" w:cs="仿宋_GB2312" w:eastAsia="仿宋_GB2312"/>
              </w:rPr>
              <w:t>三、其他要求</w:t>
            </w:r>
          </w:p>
          <w:p>
            <w:pPr>
              <w:pStyle w:val="null3"/>
            </w:pPr>
            <w:r>
              <w:rPr>
                <w:rFonts w:ascii="仿宋_GB2312" w:hAnsi="仿宋_GB2312" w:cs="仿宋_GB2312" w:eastAsia="仿宋_GB2312"/>
              </w:rPr>
              <w:t>1、保单交付：合同生效后 7 个工作日内出具汇总保单、各校分户保单。</w:t>
            </w:r>
          </w:p>
          <w:p>
            <w:pPr>
              <w:pStyle w:val="null3"/>
            </w:pPr>
            <w:r>
              <w:rPr>
                <w:rFonts w:ascii="仿宋_GB2312" w:hAnsi="仿宋_GB2312" w:cs="仿宋_GB2312" w:eastAsia="仿宋_GB2312"/>
              </w:rPr>
              <w:t>2、信息保密：严格保护学生姓名、身份证号、班级等个人信息，不得外泄。</w:t>
            </w:r>
          </w:p>
          <w:p>
            <w:pPr>
              <w:pStyle w:val="null3"/>
            </w:pPr>
            <w:r>
              <w:rPr>
                <w:rFonts w:ascii="仿宋_GB2312" w:hAnsi="仿宋_GB2312" w:cs="仿宋_GB2312" w:eastAsia="仿宋_GB2312"/>
              </w:rPr>
              <w:t>3、专人对接：设立项目专属客户经理 + 理赔专员，对接教育主管部门与各校。</w:t>
            </w:r>
          </w:p>
          <w:p>
            <w:pPr>
              <w:pStyle w:val="null3"/>
            </w:pPr>
            <w:r>
              <w:rPr>
                <w:rFonts w:ascii="仿宋_GB2312" w:hAnsi="仿宋_GB2312" w:cs="仿宋_GB2312" w:eastAsia="仿宋_GB2312"/>
              </w:rPr>
              <w:t>4、协助采购人做好对被保险单位的承保宣传和培训工作。</w:t>
            </w:r>
          </w:p>
          <w:p>
            <w:pPr>
              <w:pStyle w:val="null3"/>
            </w:pPr>
            <w:r>
              <w:rPr>
                <w:rFonts w:ascii="仿宋_GB2312" w:hAnsi="仿宋_GB2312" w:cs="仿宋_GB2312" w:eastAsia="仿宋_GB2312"/>
              </w:rPr>
              <w:t>5、按照合同规定及时做好出险案件查勘和理赔工作。</w:t>
            </w:r>
          </w:p>
          <w:p>
            <w:pPr>
              <w:pStyle w:val="null3"/>
            </w:pPr>
            <w:r>
              <w:rPr>
                <w:rFonts w:ascii="仿宋_GB2312" w:hAnsi="仿宋_GB2312" w:cs="仿宋_GB2312" w:eastAsia="仿宋_GB2312"/>
              </w:rPr>
              <w:t>6、建立重大事故协调处理机制，及时配合采购人制定重大事故的赔偿处置方案，快速处理，解决纠纷。</w:t>
            </w:r>
          </w:p>
          <w:p>
            <w:pPr>
              <w:pStyle w:val="null3"/>
            </w:pPr>
            <w:r>
              <w:rPr>
                <w:rFonts w:ascii="仿宋_GB2312" w:hAnsi="仿宋_GB2312" w:cs="仿宋_GB2312" w:eastAsia="仿宋_GB2312"/>
              </w:rPr>
              <w:t>7、建立通融赔付机制，对于特殊事件，积极同采购人进行协商，妥善予以解决。</w:t>
            </w:r>
          </w:p>
          <w:p>
            <w:pPr>
              <w:pStyle w:val="null3"/>
            </w:pPr>
            <w:r>
              <w:rPr>
                <w:rFonts w:ascii="仿宋_GB2312" w:hAnsi="仿宋_GB2312" w:cs="仿宋_GB2312" w:eastAsia="仿宋_GB2312"/>
              </w:rPr>
              <w:t>四、重要提示</w:t>
            </w:r>
          </w:p>
          <w:p>
            <w:pPr>
              <w:pStyle w:val="null3"/>
            </w:pPr>
            <w:r>
              <w:rPr>
                <w:rFonts w:ascii="仿宋_GB2312" w:hAnsi="仿宋_GB2312" w:cs="仿宋_GB2312" w:eastAsia="仿宋_GB2312"/>
              </w:rPr>
              <w:t>1、本项目保费学生按照每生12元标准。</w:t>
            </w:r>
          </w:p>
          <w:p>
            <w:pPr>
              <w:pStyle w:val="null3"/>
            </w:pPr>
            <w:r>
              <w:rPr>
                <w:rFonts w:ascii="仿宋_GB2312" w:hAnsi="仿宋_GB2312" w:cs="仿宋_GB2312" w:eastAsia="仿宋_GB2312"/>
              </w:rPr>
              <w:t>2、本项目保费以投保时实际统计人数计算，执行统一价格标准据实结算。故对各供应商报价不进行评审，供应商制作响应文件时无论是首轮报价还是二次报价，所有关于确需填写的价格（单价或总价）均按本项目预算进行填写，采购包2价格填写采购预算：547200.00元。</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标的名称：蒲城县农村义务段及全县高、中职学生投保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1、服务内容：校方责任保险主险+可选附加险承保、理赔、风险防控一体化服务。</w:t>
            </w:r>
          </w:p>
          <w:p>
            <w:pPr>
              <w:pStyle w:val="null3"/>
            </w:pPr>
            <w:r>
              <w:rPr>
                <w:rFonts w:ascii="仿宋_GB2312" w:hAnsi="仿宋_GB2312" w:cs="仿宋_GB2312" w:eastAsia="仿宋_GB2312"/>
              </w:rPr>
              <w:t>2、参保对象及人数：蒲城县农村义务段及全县高、中职学生（约35000人）投保。最终人数以2026年9月实际注册人数字为准。</w:t>
            </w:r>
          </w:p>
          <w:p>
            <w:pPr>
              <w:pStyle w:val="null3"/>
            </w:pPr>
            <w:r>
              <w:rPr>
                <w:rFonts w:ascii="仿宋_GB2312" w:hAnsi="仿宋_GB2312" w:cs="仿宋_GB2312" w:eastAsia="仿宋_GB2312"/>
              </w:rPr>
              <w:t>3、保费金额：学生按照每生12元标准。</w:t>
            </w:r>
          </w:p>
          <w:p>
            <w:pPr>
              <w:pStyle w:val="null3"/>
            </w:pPr>
            <w:r>
              <w:rPr>
                <w:rFonts w:ascii="仿宋_GB2312" w:hAnsi="仿宋_GB2312" w:cs="仿宋_GB2312" w:eastAsia="仿宋_GB2312"/>
              </w:rPr>
              <w:t>2、保险期限：2026年9月1日00时—2027年8月31日24时止。</w:t>
            </w:r>
          </w:p>
          <w:p>
            <w:pPr>
              <w:pStyle w:val="null3"/>
            </w:pPr>
            <w:r>
              <w:rPr>
                <w:rFonts w:ascii="仿宋_GB2312" w:hAnsi="仿宋_GB2312" w:cs="仿宋_GB2312" w:eastAsia="仿宋_GB2312"/>
              </w:rPr>
              <w:t>二、保险险种及保障限额</w:t>
            </w:r>
          </w:p>
          <w:p>
            <w:pPr>
              <w:pStyle w:val="null3"/>
            </w:pPr>
            <w:r>
              <w:rPr>
                <w:rFonts w:ascii="仿宋_GB2312" w:hAnsi="仿宋_GB2312" w:cs="仿宋_GB2312" w:eastAsia="仿宋_GB2312"/>
              </w:rPr>
              <w:t>（一）保险方案</w:t>
            </w:r>
          </w:p>
          <w:p>
            <w:pPr>
              <w:pStyle w:val="null3"/>
            </w:pPr>
            <w:r>
              <w:rPr>
                <w:rFonts w:ascii="仿宋_GB2312" w:hAnsi="仿宋_GB2312" w:cs="仿宋_GB2312" w:eastAsia="仿宋_GB2312"/>
              </w:rPr>
              <w:t>1、学生保险方案</w:t>
            </w:r>
          </w:p>
          <w:tbl>
            <w:tblPr>
              <w:tblInd w:type="dxa" w:w="120"/>
              <w:tblBorders>
                <w:top w:val="none" w:color="000000" w:sz="4"/>
                <w:left w:val="none" w:color="000000" w:sz="4"/>
                <w:bottom w:val="none" w:color="000000" w:sz="4"/>
                <w:right w:val="none" w:color="000000" w:sz="4"/>
                <w:insideH w:val="none"/>
                <w:insideV w:val="none"/>
              </w:tblBorders>
            </w:tblPr>
            <w:tblGrid>
              <w:gridCol w:w="573"/>
              <w:gridCol w:w="460"/>
              <w:gridCol w:w="460"/>
              <w:gridCol w:w="460"/>
              <w:gridCol w:w="599"/>
            </w:tblGrid>
            <w:tr>
              <w:tc>
                <w:tcPr>
                  <w:tcW w:type="dxa" w:w="57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保险项目</w:t>
                  </w:r>
                </w:p>
              </w:tc>
              <w:tc>
                <w:tcPr>
                  <w:tcW w:type="dxa" w:w="46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每生每年赔偿限额</w:t>
                  </w:r>
                </w:p>
                <w:p>
                  <w:pPr>
                    <w:pStyle w:val="null3"/>
                  </w:pPr>
                  <w:r>
                    <w:rPr>
                      <w:rFonts w:ascii="仿宋_GB2312" w:hAnsi="仿宋_GB2312" w:cs="仿宋_GB2312" w:eastAsia="仿宋_GB2312"/>
                      <w:sz w:val="19"/>
                    </w:rPr>
                    <w:t>（万元）</w:t>
                  </w:r>
                </w:p>
              </w:tc>
              <w:tc>
                <w:tcPr>
                  <w:tcW w:type="dxa" w:w="46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每校每次事故赔偿限额（万元）</w:t>
                  </w:r>
                </w:p>
              </w:tc>
              <w:tc>
                <w:tcPr>
                  <w:tcW w:type="dxa" w:w="46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每校每年累计赔偿限额（万元）</w:t>
                  </w:r>
                </w:p>
              </w:tc>
              <w:tc>
                <w:tcPr>
                  <w:tcW w:type="dxa" w:w="59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最高限价保费</w:t>
                  </w:r>
                </w:p>
              </w:tc>
            </w:tr>
            <w:tr>
              <w:tc>
                <w:tcPr>
                  <w:tcW w:type="dxa" w:w="5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校方责任保险</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≧70</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≧800</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≧2500</w:t>
                  </w:r>
                </w:p>
              </w:tc>
              <w:tc>
                <w:tcPr>
                  <w:tcW w:type="dxa" w:w="599"/>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12元/人·学年</w:t>
                  </w:r>
                </w:p>
              </w:tc>
            </w:tr>
            <w:tr>
              <w:tc>
                <w:tcPr>
                  <w:tcW w:type="dxa" w:w="5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附加研学旅行保险</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≧70</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≧800</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≧2500</w:t>
                  </w:r>
                </w:p>
              </w:tc>
              <w:tc>
                <w:tcPr>
                  <w:tcW w:type="dxa" w:w="599"/>
                  <w:vMerge/>
                  <w:tcBorders>
                    <w:top w:val="none" w:color="000000" w:sz="4"/>
                    <w:left w:val="none" w:color="000000" w:sz="4"/>
                    <w:bottom w:val="single" w:color="000000" w:sz="4"/>
                    <w:right w:val="single" w:color="000000" w:sz="4"/>
                  </w:tcBorders>
                </w:tcPr>
                <w:p/>
              </w:tc>
            </w:tr>
            <w:tr>
              <w:tc>
                <w:tcPr>
                  <w:tcW w:type="dxa" w:w="5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附加境外活动责任保险</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≧70</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≧800</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≧2500</w:t>
                  </w:r>
                </w:p>
              </w:tc>
              <w:tc>
                <w:tcPr>
                  <w:tcW w:type="dxa" w:w="599"/>
                  <w:vMerge/>
                  <w:tcBorders>
                    <w:top w:val="none" w:color="000000" w:sz="4"/>
                    <w:left w:val="none" w:color="000000" w:sz="4"/>
                    <w:bottom w:val="single" w:color="000000" w:sz="4"/>
                    <w:right w:val="single" w:color="000000" w:sz="4"/>
                  </w:tcBorders>
                </w:tcPr>
                <w:p/>
              </w:tc>
            </w:tr>
            <w:tr>
              <w:tc>
                <w:tcPr>
                  <w:tcW w:type="dxa" w:w="5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附加无过失责任保险</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≧20</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≧300</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rPr>
                    <w:t>≧800</w:t>
                  </w:r>
                </w:p>
              </w:tc>
              <w:tc>
                <w:tcPr>
                  <w:tcW w:type="dxa" w:w="599"/>
                  <w:vMerge/>
                  <w:tcBorders>
                    <w:top w:val="none" w:color="000000" w:sz="4"/>
                    <w:left w:val="none" w:color="000000" w:sz="4"/>
                    <w:bottom w:val="single" w:color="000000" w:sz="4"/>
                    <w:right w:val="single" w:color="000000" w:sz="4"/>
                  </w:tcBorders>
                </w:tcPr>
                <w:p/>
              </w:tc>
            </w:tr>
          </w:tbl>
          <w:p>
            <w:pPr>
              <w:pStyle w:val="null3"/>
            </w:pPr>
            <w:r>
              <w:rPr>
                <w:rFonts w:ascii="仿宋_GB2312" w:hAnsi="仿宋_GB2312" w:cs="仿宋_GB2312" w:eastAsia="仿宋_GB2312"/>
              </w:rPr>
              <w:t>（二）保险主险</w:t>
            </w:r>
          </w:p>
          <w:p>
            <w:pPr>
              <w:pStyle w:val="null3"/>
            </w:pPr>
            <w:r>
              <w:rPr>
                <w:rFonts w:ascii="仿宋_GB2312" w:hAnsi="仿宋_GB2312" w:cs="仿宋_GB2312" w:eastAsia="仿宋_GB2312"/>
              </w:rPr>
              <w:t>校方责任险：学校开展的教育教学活动（如课堂教学、实验实训等）、组织的校外活动（如社会实践、学术交流、体育比赛等）中，以及学校负有管理责任的校舍、场地、教育教学设施（实验室设备、教学器材等）、生活设施（宿舍、食堂设施等）内，发生造成在校学生人身损害的事故，依法应由学校承担的经济赔偿责任，具体情形参照《学生伤害事故处理办法》（教育部令第12号，2010年修订）执行。</w:t>
            </w:r>
          </w:p>
          <w:p>
            <w:pPr>
              <w:pStyle w:val="null3"/>
            </w:pPr>
            <w:r>
              <w:rPr>
                <w:rFonts w:ascii="仿宋_GB2312" w:hAnsi="仿宋_GB2312" w:cs="仿宋_GB2312" w:eastAsia="仿宋_GB2312"/>
              </w:rPr>
              <w:t>（三）附加责任保险</w:t>
            </w:r>
          </w:p>
          <w:p>
            <w:pPr>
              <w:pStyle w:val="null3"/>
            </w:pPr>
            <w:r>
              <w:rPr>
                <w:rFonts w:ascii="仿宋_GB2312" w:hAnsi="仿宋_GB2312" w:cs="仿宋_GB2312" w:eastAsia="仿宋_GB2312"/>
              </w:rPr>
              <w:t>1、附加研学旅行责任保险条款：被保险人的注册学生、交流学生或借读生由被保险人安排或者经被保险人批准，通过集体旅行、集中食宿方式开展的研究性学习和旅行体验（以下简称研学旅行）的校外教育活动过程中，因发生意外事故导致人身伤亡，依照中华人民共和国法律（港、澳、台地区除外） 应由被保险人承担的经济赔偿责任，保险人按照本附加险合同约定负责赔偿。2、附加境外活动责任保险条款：被保险人的注册学生、交流学生或借读生经被保险人批准，参加由被保险人或被保险人认可的境外机构组织的学术交流、 参观访问、社会实践、教育培训等境外活动过程中，因发生意外事故导致人身伤亡，依照中华人民共和国法律（港、澳、台地区除外）应由被保险人承当的经济赔偿责任，保险人按照本附加险合同约定负责赔偿。3、附加无过失责任保险条款：因发生主险或其他附加险责任范围内的事故造成学生人身伤亡，尽管被保险人已经履行了相应职责、行为并无不当，但依据判决、裁决、司法调解或行政调解，被保险人仍需对受伤害学生给予经济补偿时，保险人按照本保险合同的约定负责赔偿。</w:t>
            </w:r>
          </w:p>
          <w:p>
            <w:pPr>
              <w:pStyle w:val="null3"/>
            </w:pPr>
            <w:r>
              <w:rPr>
                <w:rFonts w:ascii="仿宋_GB2312" w:hAnsi="仿宋_GB2312" w:cs="仿宋_GB2312" w:eastAsia="仿宋_GB2312"/>
              </w:rPr>
              <w:t>三、其他要求</w:t>
            </w:r>
          </w:p>
          <w:p>
            <w:pPr>
              <w:pStyle w:val="null3"/>
            </w:pPr>
            <w:r>
              <w:rPr>
                <w:rFonts w:ascii="仿宋_GB2312" w:hAnsi="仿宋_GB2312" w:cs="仿宋_GB2312" w:eastAsia="仿宋_GB2312"/>
              </w:rPr>
              <w:t>1、保单交付：合同生效后 7 个工作日内出具汇总保单、各校分户保单。</w:t>
            </w:r>
          </w:p>
          <w:p>
            <w:pPr>
              <w:pStyle w:val="null3"/>
            </w:pPr>
            <w:r>
              <w:rPr>
                <w:rFonts w:ascii="仿宋_GB2312" w:hAnsi="仿宋_GB2312" w:cs="仿宋_GB2312" w:eastAsia="仿宋_GB2312"/>
              </w:rPr>
              <w:t>2、信息保密：严格保护学生姓名、身份证号、班级等个人信息，不得外泄。</w:t>
            </w:r>
          </w:p>
          <w:p>
            <w:pPr>
              <w:pStyle w:val="null3"/>
            </w:pPr>
            <w:r>
              <w:rPr>
                <w:rFonts w:ascii="仿宋_GB2312" w:hAnsi="仿宋_GB2312" w:cs="仿宋_GB2312" w:eastAsia="仿宋_GB2312"/>
              </w:rPr>
              <w:t>3、专人对接：设立项目专属客户经理 + 理赔专员，对接教育主管部门与各校。</w:t>
            </w:r>
          </w:p>
          <w:p>
            <w:pPr>
              <w:pStyle w:val="null3"/>
            </w:pPr>
            <w:r>
              <w:rPr>
                <w:rFonts w:ascii="仿宋_GB2312" w:hAnsi="仿宋_GB2312" w:cs="仿宋_GB2312" w:eastAsia="仿宋_GB2312"/>
              </w:rPr>
              <w:t>4、协助采购人做好对被保险单位的承保宣传和培训工作。</w:t>
            </w:r>
          </w:p>
          <w:p>
            <w:pPr>
              <w:pStyle w:val="null3"/>
            </w:pPr>
            <w:r>
              <w:rPr>
                <w:rFonts w:ascii="仿宋_GB2312" w:hAnsi="仿宋_GB2312" w:cs="仿宋_GB2312" w:eastAsia="仿宋_GB2312"/>
              </w:rPr>
              <w:t>5、按照合同规定及时做好出险案件查勘和理赔工作。</w:t>
            </w:r>
          </w:p>
          <w:p>
            <w:pPr>
              <w:pStyle w:val="null3"/>
            </w:pPr>
            <w:r>
              <w:rPr>
                <w:rFonts w:ascii="仿宋_GB2312" w:hAnsi="仿宋_GB2312" w:cs="仿宋_GB2312" w:eastAsia="仿宋_GB2312"/>
              </w:rPr>
              <w:t>6、建立重大事故协调处理机制，及时配合采购人制定重大事故的赔偿处置方案，快速处理，解决纠纷。</w:t>
            </w:r>
          </w:p>
          <w:p>
            <w:pPr>
              <w:pStyle w:val="null3"/>
            </w:pPr>
            <w:r>
              <w:rPr>
                <w:rFonts w:ascii="仿宋_GB2312" w:hAnsi="仿宋_GB2312" w:cs="仿宋_GB2312" w:eastAsia="仿宋_GB2312"/>
              </w:rPr>
              <w:t>7、建立通融赔付机制，对于特殊事件，积极同采购人进行协商，妥善予以解决。</w:t>
            </w:r>
          </w:p>
          <w:p>
            <w:pPr>
              <w:pStyle w:val="null3"/>
            </w:pPr>
            <w:r>
              <w:rPr>
                <w:rFonts w:ascii="仿宋_GB2312" w:hAnsi="仿宋_GB2312" w:cs="仿宋_GB2312" w:eastAsia="仿宋_GB2312"/>
              </w:rPr>
              <w:t>四、重要提示</w:t>
            </w:r>
          </w:p>
          <w:p>
            <w:pPr>
              <w:pStyle w:val="null3"/>
            </w:pPr>
            <w:r>
              <w:rPr>
                <w:rFonts w:ascii="仿宋_GB2312" w:hAnsi="仿宋_GB2312" w:cs="仿宋_GB2312" w:eastAsia="仿宋_GB2312"/>
              </w:rPr>
              <w:t>1、本项目保费学生按照每人12元标准。</w:t>
            </w:r>
          </w:p>
          <w:p>
            <w:pPr>
              <w:pStyle w:val="null3"/>
            </w:pPr>
            <w:r>
              <w:rPr>
                <w:rFonts w:ascii="仿宋_GB2312" w:hAnsi="仿宋_GB2312" w:cs="仿宋_GB2312" w:eastAsia="仿宋_GB2312"/>
              </w:rPr>
              <w:t>2、本项目保费以投保时实际统计人数计算，执行统一价格标准据实结算。故对各供应商报价不进行评审，供应商制作响应文件时无论是首轮报价还是二次报价，所有关于确需填写的价格（单价或总价）均按本项目预算进行填写，采购包3价格填写采购预算：420000.00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配备相关业务⼈员，确保按期完成投保。2、承保公司应当成立专门的校方责任保险理赔服务机构，由有经验的专业理赔人员负责理赔服务工作，并配备相应的办公设备。3、具有专⼈负责跟采购⼈进⾏对接，确保及时处理突发情况。</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针对本项⽬配备相关业务⼈员，确保按期完成投保。2、承保公司应当成立专门的校方责任保险理赔服务机构，由有经验的专业理赔人员负责理赔服务工作，并配备相应的办公设备。3、具有专⼈负责跟采购⼈进⾏对接，确保及时处理突发情况。</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针对本项⽬配备相关业务⼈员，确保按期完成投保。2、承保公司应当成立专门的校方责任保险理赔服务机构，由有经验的专业理赔人员负责理赔服务工作，并配备相应的办公设备。3、具有专⼈负责跟采购⼈进⾏对接，确保及时处理突发情况。</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满足项目采购需求配备设施设备。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满足项目采购需求配备设施设备。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满足项目采购需求配备设施设备。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乙方应根据本项目校方责任险采购及管理细则服务要求，制定详实、精确、可落地的专项服务标准与理赔服务规范，经甲方审定通过后严格遵照实施，全面实现校方责任险承保、理赔、风控、应急服务标准化、常态化、规范化管理。 2. 对于甲方及各学校日常管理、安全检查、专项排查、事故处置、迎检审计、应急保障等临时性、突发性、机动性工作任务，乙方驻场及专项服务工作人员须无条件全力配合、服从甲方统一指派与调度，不得推诿、拖延、拒绝。</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 乙方应根据本项目校方责任险采购及管理细则服务要求，制定详实、精确、可落地的专项服务标准与理赔服务规范，经甲方审定通过后严格遵照实施，全面实现校方责任险承保、理赔、风控、应急服务标准化、常态化、规范化管理。 2. 对于甲方及各学校日常管理、安全检查、专项排查、事故处置、迎检审计、应急保障等临时性、突发性、机动性工作任务，乙方驻场及专项服务工作人员须无条件全力配合、服从甲方统一指派与调度，不得推诿、拖延、拒绝。</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 乙方应根据本项目校方责任险采购及管理细则服务要求，制定详实、精确、可落地的专项服务标准与理赔服务规范，经甲方审定通过后严格遵照实施，全面实现校方责任险承保、理赔、风控、应急服务标准化、常态化、规范化管理。 2. 对于甲方及各学校日常管理、安全检查、专项排查、事故处置、迎检审计、应急保障等临时性、突发性、机动性工作任务，乙方驻场及专项服务工作人员须无条件全力配合、服从甲方统一指派与调度，不得推诿、拖延、拒绝。</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1、合同履行期为自合同签订之日起至保险期间内全部理赔案件办结完毕止。2、保险期间为 2026年9月1日0零时起至2027年8月31日24时止。若保单实际出单日期晚于2026年9月1日，保险人仍应当对保险期间内、保单出具之前发生的属于保险责任范围内事故承担赔偿责任。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1、合同履行期为自合同签订之日起至保险期间内全部理赔案件办结完毕止。2、保险期间为 2026年9月1日0零时起至2027年8月31日24时止。若保单实际出单日期晚于2026年9月1日，保险人仍应当对保险期间内、保单出具之前发生的属于保险责任范围内事故承担赔偿责任。</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1、合同履行期为自合同签订之日起至保险期间内全部理赔案件办结完毕止。2、保险期间为 2026年9月1日0零时起至2027年8月31日24时止。若保单实际出单日期晚于2026年9月1日，保险人仍应当对保险期间内、保单出具之前发生的属于保险责任范围内事故承担赔偿责任。</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蒲城县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蒲城县</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蒲城县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按照采购合同约定执行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进度款，合同签订后，总保险费用根据最终人数据实结算。供应商提供等额正规发票后，达到付款条件起15个工作日内，支付合同总金额的100.0%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进度款，合同签订后，总保险费用根据最终人数据实结算。供应商提供等额正规发票后，达到付款条件起15个工作日内，支付合同总金额的100.0%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进度款，合同签订后，总保险费用根据最终人数据实结算。供应商提供等额正规发票后，达到付款条件起15个工作日内，支付合同总金额的100.0%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按照采购合同约定执行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兼投不兼中总规则：①本项目分3个采购包，供应商可对多个采购包投标，但最多只能中标1个采购包（兼投不兼中）。②评标顺序与成交规则：评标委员会按采购包1→采购包2→…→采购包3的顺序依次评审。若某供应商在前序采购包已被确定为第一成交候选人，则该供应商在后续采购包评审中仍参与打分、计入有效供应商数量，自动失去后续采购包第一成交候选人资格。③成交候选人推荐规则：每个采购包推荐3名成交候选人，按综合得分从高到低排序。已在前序采购包为第一成交候选人的供应商，后续采购包排名自动顺延至下一位候选人。④废标/无效情形提示：有效投标人数量按未被排除的所有合格投标人计算，不因“兼投不兼中”导致的顺延而认定为不足三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w:t>
            </w:r>
          </w:p>
        </w:tc>
        <w:tc>
          <w:tcPr>
            <w:tcW w:type="dxa" w:w="1661"/>
          </w:tcPr>
          <w:p>
            <w:pPr>
              <w:pStyle w:val="null3"/>
            </w:pPr>
            <w:r>
              <w:rPr>
                <w:rFonts w:ascii="仿宋_GB2312" w:hAnsi="仿宋_GB2312" w:cs="仿宋_GB2312" w:eastAsia="仿宋_GB2312"/>
              </w:rPr>
              <w:t>采购包1投标文件格式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w:t>
            </w:r>
          </w:p>
        </w:tc>
        <w:tc>
          <w:tcPr>
            <w:tcW w:type="dxa" w:w="1661"/>
          </w:tcPr>
          <w:p>
            <w:pPr>
              <w:pStyle w:val="null3"/>
            </w:pPr>
            <w:r>
              <w:rPr>
                <w:rFonts w:ascii="仿宋_GB2312" w:hAnsi="仿宋_GB2312" w:cs="仿宋_GB2312" w:eastAsia="仿宋_GB2312"/>
              </w:rPr>
              <w:t>采购包2投标文件格式.docx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残疾人福利性单位声明函 中小企业声明函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w:t>
            </w:r>
          </w:p>
        </w:tc>
        <w:tc>
          <w:tcPr>
            <w:tcW w:type="dxa" w:w="1661"/>
          </w:tcPr>
          <w:p>
            <w:pPr>
              <w:pStyle w:val="null3"/>
            </w:pPr>
            <w:r>
              <w:rPr>
                <w:rFonts w:ascii="仿宋_GB2312" w:hAnsi="仿宋_GB2312" w:cs="仿宋_GB2312" w:eastAsia="仿宋_GB2312"/>
              </w:rPr>
              <w:t>采购包3投标文件格式.docx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法人或者其他组织的营业执照等证明文件或者自然人身份证明（本项目属于保险行业，允许法人的分支机构参加投标，分支机构参加投标的须提供总公司针对本项目的授权书及总公司的营业执照。）</w:t>
            </w:r>
          </w:p>
        </w:tc>
        <w:tc>
          <w:tcPr>
            <w:tcW w:type="dxa" w:w="1661"/>
          </w:tcPr>
          <w:p>
            <w:pPr>
              <w:pStyle w:val="null3"/>
            </w:pPr>
            <w:r>
              <w:rPr>
                <w:rFonts w:ascii="仿宋_GB2312" w:hAnsi="仿宋_GB2312" w:cs="仿宋_GB2312" w:eastAsia="仿宋_GB2312"/>
              </w:rPr>
              <w:t>采购包1投标文件格式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2026年02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tc>
        <w:tc>
          <w:tcPr>
            <w:tcW w:type="dxa" w:w="1661"/>
          </w:tcPr>
          <w:p>
            <w:pPr>
              <w:pStyle w:val="null3"/>
            </w:pPr>
            <w:r>
              <w:rPr>
                <w:rFonts w:ascii="仿宋_GB2312" w:hAnsi="仿宋_GB2312" w:cs="仿宋_GB2312" w:eastAsia="仿宋_GB2312"/>
              </w:rPr>
              <w:t>采购包1投标文件格式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自2026年02月01日以来已缴存的至少一个月的纳税证明或完税证明，纳税证明或完税证明上应有代收机构或税务机关的公章或业务专用章。依法免税的供应商应提供相关文件证明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采购包1投标文件格式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未被列入“信用中国”网站（www.creditchina.gov.cn）失信被执行人和重大税收违法案件当事人名单，不得为“中国政府采购网”(www.ccgp.gov.cn)政府采购严重违法失信行为记录名单中禁止参加政府采购活动的供应商</w:t>
            </w:r>
          </w:p>
        </w:tc>
        <w:tc>
          <w:tcPr>
            <w:tcW w:type="dxa" w:w="1661"/>
          </w:tcPr>
          <w:p>
            <w:pPr>
              <w:pStyle w:val="null3"/>
            </w:pPr>
            <w:r>
              <w:rPr>
                <w:rFonts w:ascii="仿宋_GB2312" w:hAnsi="仿宋_GB2312" w:cs="仿宋_GB2312" w:eastAsia="仿宋_GB2312"/>
              </w:rPr>
              <w:t>采购包1投标文件格式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法定代表人参加磋商的，须提供法定代表人身份证明书；法定代表人授权他人参加磋商的，须提供法定代表人委托授权书</w:t>
            </w:r>
          </w:p>
        </w:tc>
        <w:tc>
          <w:tcPr>
            <w:tcW w:type="dxa" w:w="1661"/>
          </w:tcPr>
          <w:p>
            <w:pPr>
              <w:pStyle w:val="null3"/>
            </w:pPr>
            <w:r>
              <w:rPr>
                <w:rFonts w:ascii="仿宋_GB2312" w:hAnsi="仿宋_GB2312" w:cs="仿宋_GB2312" w:eastAsia="仿宋_GB2312"/>
              </w:rPr>
              <w:t>采购包1投标文件格式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采购包1投标文件格式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采购包1投标文件格式</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供应商必须具有国家金融监督管理总局（原银保监会、原保监会）核发的有效《保险许可证》或新版《金融许可证》</w:t>
            </w:r>
          </w:p>
        </w:tc>
        <w:tc>
          <w:tcPr>
            <w:tcW w:type="dxa" w:w="1661"/>
          </w:tcPr>
          <w:p>
            <w:pPr>
              <w:pStyle w:val="null3"/>
            </w:pPr>
            <w:r>
              <w:rPr>
                <w:rFonts w:ascii="仿宋_GB2312" w:hAnsi="仿宋_GB2312" w:cs="仿宋_GB2312" w:eastAsia="仿宋_GB2312"/>
              </w:rPr>
              <w:t>采购包1投标文件格式</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采购包1投标文件格式</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法人或者其他组织的营业执照等证明文件或者自然人身份证明（本项目属于保险行业，允许法人的分支机构参加投标，分支机构参加投标的须提供总公司针对本项目的授权书及总公司的营业执照。）</w:t>
            </w:r>
          </w:p>
        </w:tc>
        <w:tc>
          <w:tcPr>
            <w:tcW w:type="dxa" w:w="1661"/>
          </w:tcPr>
          <w:p>
            <w:pPr>
              <w:pStyle w:val="null3"/>
            </w:pPr>
            <w:r>
              <w:rPr>
                <w:rFonts w:ascii="仿宋_GB2312" w:hAnsi="仿宋_GB2312" w:cs="仿宋_GB2312" w:eastAsia="仿宋_GB2312"/>
              </w:rPr>
              <w:t>采购包2投标文件格式.docx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2026年02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tc>
        <w:tc>
          <w:tcPr>
            <w:tcW w:type="dxa" w:w="1661"/>
          </w:tcPr>
          <w:p>
            <w:pPr>
              <w:pStyle w:val="null3"/>
            </w:pPr>
            <w:r>
              <w:rPr>
                <w:rFonts w:ascii="仿宋_GB2312" w:hAnsi="仿宋_GB2312" w:cs="仿宋_GB2312" w:eastAsia="仿宋_GB2312"/>
              </w:rPr>
              <w:t>采购包2投标文件格式.docx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自2026年02月01日以来已缴存的至少一个月的纳税证明或完税证明，纳税证明或完税证明上应有代收机构或税务机关的公章或业务专用章。依法免税的供应商应提供相关文件证明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采购包2投标文件格式.docx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未被列入“信用中国”网站（www.creditchina.gov.cn）失信被执行人和重大税收违法案件当事人名单，不得为“中国政府采购网”(www.ccgp.gov.cn)政府采购严重违法失信行为记录名单中禁止参加政府采购活动的供应商</w:t>
            </w:r>
          </w:p>
        </w:tc>
        <w:tc>
          <w:tcPr>
            <w:tcW w:type="dxa" w:w="1661"/>
          </w:tcPr>
          <w:p>
            <w:pPr>
              <w:pStyle w:val="null3"/>
            </w:pPr>
            <w:r>
              <w:rPr>
                <w:rFonts w:ascii="仿宋_GB2312" w:hAnsi="仿宋_GB2312" w:cs="仿宋_GB2312" w:eastAsia="仿宋_GB2312"/>
              </w:rPr>
              <w:t>采购包2投标文件格式.docx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法定代表人参加磋商的，须提供法定代表人身份证明书；法定代表人授权他人参加磋商的，须提供法定代表人委托授权书</w:t>
            </w:r>
          </w:p>
        </w:tc>
        <w:tc>
          <w:tcPr>
            <w:tcW w:type="dxa" w:w="1661"/>
          </w:tcPr>
          <w:p>
            <w:pPr>
              <w:pStyle w:val="null3"/>
            </w:pPr>
            <w:r>
              <w:rPr>
                <w:rFonts w:ascii="仿宋_GB2312" w:hAnsi="仿宋_GB2312" w:cs="仿宋_GB2312" w:eastAsia="仿宋_GB2312"/>
              </w:rPr>
              <w:t>采购包2投标文件格式.docx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采购包2投标文件格式.docx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采购包2投标文件格式.docx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供应商必须具有国家金融监督管理总局（原银保监会、原保监会）核发的有效《保险许可证》或新版《金融许可证》</w:t>
            </w:r>
          </w:p>
        </w:tc>
        <w:tc>
          <w:tcPr>
            <w:tcW w:type="dxa" w:w="1661"/>
          </w:tcPr>
          <w:p>
            <w:pPr>
              <w:pStyle w:val="null3"/>
            </w:pPr>
            <w:r>
              <w:rPr>
                <w:rFonts w:ascii="仿宋_GB2312" w:hAnsi="仿宋_GB2312" w:cs="仿宋_GB2312" w:eastAsia="仿宋_GB2312"/>
              </w:rPr>
              <w:t>采购包2投标文件格式.docx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采购包2投标文件格式.docx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法人或者其他组织的营业执照等证明文件或者自然人身份证明（本项目属于保险行业，允许法人的分支机构参加投标，分支机构参加投标的须提供总公司针对本项目的授权书及总公司的营业执照。）</w:t>
            </w:r>
          </w:p>
        </w:tc>
        <w:tc>
          <w:tcPr>
            <w:tcW w:type="dxa" w:w="1661"/>
          </w:tcPr>
          <w:p>
            <w:pPr>
              <w:pStyle w:val="null3"/>
            </w:pPr>
            <w:r>
              <w:rPr>
                <w:rFonts w:ascii="仿宋_GB2312" w:hAnsi="仿宋_GB2312" w:cs="仿宋_GB2312" w:eastAsia="仿宋_GB2312"/>
              </w:rPr>
              <w:t>采购包3投标文件格式.docx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2026年02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tc>
        <w:tc>
          <w:tcPr>
            <w:tcW w:type="dxa" w:w="1661"/>
          </w:tcPr>
          <w:p>
            <w:pPr>
              <w:pStyle w:val="null3"/>
            </w:pPr>
            <w:r>
              <w:rPr>
                <w:rFonts w:ascii="仿宋_GB2312" w:hAnsi="仿宋_GB2312" w:cs="仿宋_GB2312" w:eastAsia="仿宋_GB2312"/>
              </w:rPr>
              <w:t>采购包3投标文件格式.docx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自2026年02月01日以来已缴存的至少一个月的纳税证明或完税证明，纳税证明或完税证明上应有代收机构或税务机关的公章或业务专用章。依法免税的供应商应提供相关文件证明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采购包3投标文件格式.docx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未被列入“信用中国”网站（www.creditchina.gov.cn）失信被执行人和重大税收违法案件当事人名单，不得为“中国政府采购网”(www.ccgp.gov.cn)政府采购严重违法失信行为记录名单中禁止参加政府采购活动的供应商</w:t>
            </w:r>
          </w:p>
        </w:tc>
        <w:tc>
          <w:tcPr>
            <w:tcW w:type="dxa" w:w="1661"/>
          </w:tcPr>
          <w:p>
            <w:pPr>
              <w:pStyle w:val="null3"/>
            </w:pPr>
            <w:r>
              <w:rPr>
                <w:rFonts w:ascii="仿宋_GB2312" w:hAnsi="仿宋_GB2312" w:cs="仿宋_GB2312" w:eastAsia="仿宋_GB2312"/>
              </w:rPr>
              <w:t>采购包3投标文件格式.docx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法定代表人参加磋商的，须提供法定代表人身份证明书；法定代表人授权他人参加磋商的，须提供法定代表人委托授权书</w:t>
            </w:r>
          </w:p>
        </w:tc>
        <w:tc>
          <w:tcPr>
            <w:tcW w:type="dxa" w:w="1661"/>
          </w:tcPr>
          <w:p>
            <w:pPr>
              <w:pStyle w:val="null3"/>
            </w:pPr>
            <w:r>
              <w:rPr>
                <w:rFonts w:ascii="仿宋_GB2312" w:hAnsi="仿宋_GB2312" w:cs="仿宋_GB2312" w:eastAsia="仿宋_GB2312"/>
              </w:rPr>
              <w:t>采购包3投标文件格式.docx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采购包3投标文件格式.docx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采购包3投标文件格式.docx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供应商必须具有国家金融监督管理总局（原银保监会、原保监会）核发的有效《保险许可证》或新版《金融许可证》</w:t>
            </w:r>
          </w:p>
        </w:tc>
        <w:tc>
          <w:tcPr>
            <w:tcW w:type="dxa" w:w="1661"/>
          </w:tcPr>
          <w:p>
            <w:pPr>
              <w:pStyle w:val="null3"/>
            </w:pPr>
            <w:r>
              <w:rPr>
                <w:rFonts w:ascii="仿宋_GB2312" w:hAnsi="仿宋_GB2312" w:cs="仿宋_GB2312" w:eastAsia="仿宋_GB2312"/>
              </w:rPr>
              <w:t>采购包3投标文件格式.docx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采购包3投标文件格式.docx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的报价明显低于其他实质性响应的供应商报价，有可能影响项目质量或者不能诚信履约的，按照《关于推动解决政府采购异常低价问题的通知》财库〔2026〕2号文件的要求，可启动政府采购异常低价审查，具体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供应商应按格式填写单位名称，文件中的单位名称须和营业执照、公章一致</w:t>
            </w:r>
          </w:p>
        </w:tc>
        <w:tc>
          <w:tcPr>
            <w:tcW w:type="dxa" w:w="1661"/>
          </w:tcPr>
          <w:p>
            <w:pPr>
              <w:pStyle w:val="null3"/>
            </w:pPr>
            <w:r>
              <w:rPr>
                <w:rFonts w:ascii="仿宋_GB2312" w:hAnsi="仿宋_GB2312" w:cs="仿宋_GB2312" w:eastAsia="仿宋_GB2312"/>
              </w:rPr>
              <w:t>响应文件封面 中小企业声明函 残疾人福利性单位声明函 标的清单 响应函 类似业绩一览表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文件应逐页盖章，有法定代表人（被授权人）签字或盖章处须按要求签字或盖章</w:t>
            </w:r>
          </w:p>
        </w:tc>
        <w:tc>
          <w:tcPr>
            <w:tcW w:type="dxa" w:w="1661"/>
          </w:tcPr>
          <w:p>
            <w:pPr>
              <w:pStyle w:val="null3"/>
            </w:pPr>
            <w:r>
              <w:rPr>
                <w:rFonts w:ascii="仿宋_GB2312" w:hAnsi="仿宋_GB2312" w:cs="仿宋_GB2312" w:eastAsia="仿宋_GB2312"/>
              </w:rPr>
              <w:t>响应文件封面 中小企业声明函 残疾人福利性单位声明函 标的清单 响应函 类似业绩一览表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应符合磋商文件规定</w:t>
            </w:r>
          </w:p>
        </w:tc>
        <w:tc>
          <w:tcPr>
            <w:tcW w:type="dxa" w:w="1661"/>
          </w:tcPr>
          <w:p>
            <w:pPr>
              <w:pStyle w:val="null3"/>
            </w:pPr>
            <w:r>
              <w:rPr>
                <w:rFonts w:ascii="仿宋_GB2312" w:hAnsi="仿宋_GB2312" w:cs="仿宋_GB2312" w:eastAsia="仿宋_GB2312"/>
              </w:rPr>
              <w:t>响应文件封面 中小企业声明函 残疾人福利性单位声明函 标的清单 响应函 类似业绩一览表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标的清单 响应函 类似业绩一览表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标的清单 响应函 类似业绩一览表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的报价明显低于其他实质性响应的供应商报价，有可能影响项目质量或者不能诚信履约的，按照《关于推动解决政府采购异常低价问题的通知》财库〔2026〕2号文件的要求，可启动政府采购异常低价审查，具体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供应商应按格式填写单位名称，文件中的单位名称须和营业执照、公章一致</w:t>
            </w:r>
          </w:p>
        </w:tc>
        <w:tc>
          <w:tcPr>
            <w:tcW w:type="dxa" w:w="1661"/>
          </w:tcPr>
          <w:p>
            <w:pPr>
              <w:pStyle w:val="null3"/>
            </w:pPr>
            <w:r>
              <w:rPr>
                <w:rFonts w:ascii="仿宋_GB2312" w:hAnsi="仿宋_GB2312" w:cs="仿宋_GB2312" w:eastAsia="仿宋_GB2312"/>
              </w:rPr>
              <w:t>响应文件封面 中小企业声明函 残疾人福利性单位声明函 标的清单 响应函 类似业绩一览表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文件应逐页盖章，有法定代表人（被授权人）签字或盖章处须按要求签字或盖章</w:t>
            </w:r>
          </w:p>
        </w:tc>
        <w:tc>
          <w:tcPr>
            <w:tcW w:type="dxa" w:w="1661"/>
          </w:tcPr>
          <w:p>
            <w:pPr>
              <w:pStyle w:val="null3"/>
            </w:pPr>
            <w:r>
              <w:rPr>
                <w:rFonts w:ascii="仿宋_GB2312" w:hAnsi="仿宋_GB2312" w:cs="仿宋_GB2312" w:eastAsia="仿宋_GB2312"/>
              </w:rPr>
              <w:t>响应文件封面 中小企业声明函 残疾人福利性单位声明函 标的清单 响应函 类似业绩一览表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应符合磋商文件规定</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标的清单 响应函 类似业绩一览表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标的清单 响应函 类似业绩一览表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中小企业声明函 残疾人福利性单位声明函 标的清单 响应函 类似业绩一览表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的报价明显低于其他实质性响应的供应商报价，有可能影响项目质量或者不能诚信履约的，按照《关于推动解决政府采购异常低价问题的通知》财库〔2026〕2号文件的要求，可启动政府采购异常低价审查，具体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供应商应按格式填写单位名称，文件中的单位名称须和营业执照、公章一致</w:t>
            </w:r>
          </w:p>
        </w:tc>
        <w:tc>
          <w:tcPr>
            <w:tcW w:type="dxa" w:w="1661"/>
          </w:tcPr>
          <w:p>
            <w:pPr>
              <w:pStyle w:val="null3"/>
            </w:pPr>
            <w:r>
              <w:rPr>
                <w:rFonts w:ascii="仿宋_GB2312" w:hAnsi="仿宋_GB2312" w:cs="仿宋_GB2312" w:eastAsia="仿宋_GB2312"/>
              </w:rPr>
              <w:t>响应文件封面 中小企业声明函 残疾人福利性单位声明函 标的清单 响应函 类似业绩一览表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文件应逐页盖章，有法定代表人（被授权人）签字或盖章处须按要求签字或盖章</w:t>
            </w:r>
          </w:p>
        </w:tc>
        <w:tc>
          <w:tcPr>
            <w:tcW w:type="dxa" w:w="1661"/>
          </w:tcPr>
          <w:p>
            <w:pPr>
              <w:pStyle w:val="null3"/>
            </w:pPr>
            <w:r>
              <w:rPr>
                <w:rFonts w:ascii="仿宋_GB2312" w:hAnsi="仿宋_GB2312" w:cs="仿宋_GB2312" w:eastAsia="仿宋_GB2312"/>
              </w:rPr>
              <w:t>响应文件封面 中小企业声明函 残疾人福利性单位声明函 标的清单 响应函 类似业绩一览表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应符合磋商文件规定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标的清单 响应函 类似业绩一览表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标的清单 响应函 类似业绩一览表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每生每年赔偿限额（校方责任险）</w:t>
            </w:r>
          </w:p>
        </w:tc>
        <w:tc>
          <w:tcPr>
            <w:tcW w:type="dxa" w:w="2492"/>
          </w:tcPr>
          <w:p>
            <w:pPr>
              <w:pStyle w:val="null3"/>
            </w:pPr>
            <w:r>
              <w:rPr>
                <w:rFonts w:ascii="仿宋_GB2312" w:hAnsi="仿宋_GB2312" w:cs="仿宋_GB2312" w:eastAsia="仿宋_GB2312"/>
              </w:rPr>
              <w:t>1、按供应商所报每生每年赔偿限额（校方责任险）从高到低排序，最高每生每年赔偿限额（校方责任险）为评标基准赔偿限额，得5分。 2、每生每年赔偿限额（校方责任险）得分=（各供应商每生每年赔偿限额（校方责任险）/评标基准赔偿限额）×5。</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采购包1投标文件格式</w:t>
            </w:r>
          </w:p>
        </w:tc>
      </w:tr>
      <w:tr>
        <w:tc>
          <w:tcPr>
            <w:tcW w:type="dxa" w:w="831"/>
            <w:vMerge/>
          </w:tcPr>
          <w:p/>
        </w:tc>
        <w:tc>
          <w:tcPr>
            <w:tcW w:type="dxa" w:w="1661"/>
          </w:tcPr>
          <w:p>
            <w:pPr>
              <w:pStyle w:val="null3"/>
            </w:pPr>
            <w:r>
              <w:rPr>
                <w:rFonts w:ascii="仿宋_GB2312" w:hAnsi="仿宋_GB2312" w:cs="仿宋_GB2312" w:eastAsia="仿宋_GB2312"/>
              </w:rPr>
              <w:t>每校每次事故赔偿限额（校方责任险）</w:t>
            </w:r>
          </w:p>
        </w:tc>
        <w:tc>
          <w:tcPr>
            <w:tcW w:type="dxa" w:w="2492"/>
          </w:tcPr>
          <w:p>
            <w:pPr>
              <w:pStyle w:val="null3"/>
            </w:pPr>
            <w:r>
              <w:rPr>
                <w:rFonts w:ascii="仿宋_GB2312" w:hAnsi="仿宋_GB2312" w:cs="仿宋_GB2312" w:eastAsia="仿宋_GB2312"/>
              </w:rPr>
              <w:t>1、按供应商所报每校每次事故赔偿限额（校方责任险）从高到低排序，最高每校每次事故赔偿限额（校方责任险）为评标基准赔偿限额，得5分。 2、每校每次事故赔偿限额（校方责任险）得分=（各每校每次事故赔偿限额（校方责任险）/评标基准赔偿限额）×5。</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采购包1投标文件格式</w:t>
            </w:r>
          </w:p>
        </w:tc>
      </w:tr>
      <w:tr>
        <w:tc>
          <w:tcPr>
            <w:tcW w:type="dxa" w:w="831"/>
            <w:vMerge/>
          </w:tcPr>
          <w:p/>
        </w:tc>
        <w:tc>
          <w:tcPr>
            <w:tcW w:type="dxa" w:w="1661"/>
          </w:tcPr>
          <w:p>
            <w:pPr>
              <w:pStyle w:val="null3"/>
            </w:pPr>
            <w:r>
              <w:rPr>
                <w:rFonts w:ascii="仿宋_GB2312" w:hAnsi="仿宋_GB2312" w:cs="仿宋_GB2312" w:eastAsia="仿宋_GB2312"/>
              </w:rPr>
              <w:t>每校每年累计赔偿限额（校方责任险）</w:t>
            </w:r>
          </w:p>
        </w:tc>
        <w:tc>
          <w:tcPr>
            <w:tcW w:type="dxa" w:w="2492"/>
          </w:tcPr>
          <w:p>
            <w:pPr>
              <w:pStyle w:val="null3"/>
            </w:pPr>
            <w:r>
              <w:rPr>
                <w:rFonts w:ascii="仿宋_GB2312" w:hAnsi="仿宋_GB2312" w:cs="仿宋_GB2312" w:eastAsia="仿宋_GB2312"/>
              </w:rPr>
              <w:t>1、按供应商所报每校每年累计赔偿限额（校方责任险）从高到低排序，最高每校每年累计赔偿限额（校方责任险）为评标基准赔偿限额，得5分。 2、每校每年累计赔偿限额（校方责任险）得分=（各每校每年累计赔偿限额（校方责任险）/评标基准赔偿限额）×5。</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采购包1投标文件格式</w:t>
            </w:r>
          </w:p>
        </w:tc>
      </w:tr>
      <w:tr>
        <w:tc>
          <w:tcPr>
            <w:tcW w:type="dxa" w:w="831"/>
            <w:vMerge/>
          </w:tcPr>
          <w:p/>
        </w:tc>
        <w:tc>
          <w:tcPr>
            <w:tcW w:type="dxa" w:w="1661"/>
          </w:tcPr>
          <w:p>
            <w:pPr>
              <w:pStyle w:val="null3"/>
            </w:pPr>
            <w:r>
              <w:rPr>
                <w:rFonts w:ascii="仿宋_GB2312" w:hAnsi="仿宋_GB2312" w:cs="仿宋_GB2312" w:eastAsia="仿宋_GB2312"/>
              </w:rPr>
              <w:t>教职工每人伤亡责任限额</w:t>
            </w:r>
          </w:p>
        </w:tc>
        <w:tc>
          <w:tcPr>
            <w:tcW w:type="dxa" w:w="2492"/>
          </w:tcPr>
          <w:p>
            <w:pPr>
              <w:pStyle w:val="null3"/>
            </w:pPr>
            <w:r>
              <w:rPr>
                <w:rFonts w:ascii="仿宋_GB2312" w:hAnsi="仿宋_GB2312" w:cs="仿宋_GB2312" w:eastAsia="仿宋_GB2312"/>
              </w:rPr>
              <w:t>1、按供应商所报教职工每人伤亡责任限额从高到低排序，最高教职工每人伤亡责任限额为评标基准赔偿限额，得5分。 2、教职工每人伤亡责任限额得分=（教职工每人伤亡责任限额/评标基准赔偿限额）×5。</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采购包1投标文件格式</w:t>
            </w:r>
          </w:p>
        </w:tc>
      </w:tr>
      <w:tr>
        <w:tc>
          <w:tcPr>
            <w:tcW w:type="dxa" w:w="831"/>
            <w:vMerge/>
          </w:tcPr>
          <w:p/>
        </w:tc>
        <w:tc>
          <w:tcPr>
            <w:tcW w:type="dxa" w:w="1661"/>
          </w:tcPr>
          <w:p>
            <w:pPr>
              <w:pStyle w:val="null3"/>
            </w:pPr>
            <w:r>
              <w:rPr>
                <w:rFonts w:ascii="仿宋_GB2312" w:hAnsi="仿宋_GB2312" w:cs="仿宋_GB2312" w:eastAsia="仿宋_GB2312"/>
              </w:rPr>
              <w:t>教职工累计责任限额</w:t>
            </w:r>
          </w:p>
        </w:tc>
        <w:tc>
          <w:tcPr>
            <w:tcW w:type="dxa" w:w="2492"/>
          </w:tcPr>
          <w:p>
            <w:pPr>
              <w:pStyle w:val="null3"/>
            </w:pPr>
            <w:r>
              <w:rPr>
                <w:rFonts w:ascii="仿宋_GB2312" w:hAnsi="仿宋_GB2312" w:cs="仿宋_GB2312" w:eastAsia="仿宋_GB2312"/>
              </w:rPr>
              <w:t>1、按供应商所报教职工累计责任限额从高到低排序，最高教职工累计责任限额为评标基准赔偿限额，得5分。 2、教职工累计责任限额得分=（教职工累计责任限额/评标基准赔偿限额）×5。</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采购包1投标文件格式</w:t>
            </w:r>
          </w:p>
        </w:tc>
      </w:tr>
      <w:tr>
        <w:tc>
          <w:tcPr>
            <w:tcW w:type="dxa" w:w="831"/>
            <w:vMerge/>
          </w:tcPr>
          <w:p/>
        </w:tc>
        <w:tc>
          <w:tcPr>
            <w:tcW w:type="dxa" w:w="1661"/>
          </w:tcPr>
          <w:p>
            <w:pPr>
              <w:pStyle w:val="null3"/>
            </w:pPr>
            <w:r>
              <w:rPr>
                <w:rFonts w:ascii="仿宋_GB2312" w:hAnsi="仿宋_GB2312" w:cs="仿宋_GB2312" w:eastAsia="仿宋_GB2312"/>
              </w:rPr>
              <w:t>综合偿付能力充足率</w:t>
            </w:r>
          </w:p>
        </w:tc>
        <w:tc>
          <w:tcPr>
            <w:tcW w:type="dxa" w:w="2492"/>
          </w:tcPr>
          <w:p>
            <w:pPr>
              <w:pStyle w:val="null3"/>
            </w:pPr>
            <w:r>
              <w:rPr>
                <w:rFonts w:ascii="仿宋_GB2312" w:hAnsi="仿宋_GB2312" w:cs="仿宋_GB2312" w:eastAsia="仿宋_GB2312"/>
              </w:rPr>
              <w:t>根据供应商一年来综合偿付能力充足率情况进⾏综合评分。 ①综合偿付能⼒充⾜率连续四个季度均≥200%，得8分； ②只有三个季度≥200%，得6分；③只有两个季度≥200%，得4分； ④只有⼀个季度≥200%，得2分；⑤四个季度均在200% 以下，不得分。 注：供应商需提供在中国保险⾏业协会官⽹（www.iachina.cn）查询到的机构基本信息及综合偿付能⼒充⾜率的数据截图并加盖单位公章，未提供不得分。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采购包1投标文件格式</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1、项目负责人（4分）：①具备本科及以上学历，提供学历证明得2分，未提供不得分。②项目负责人具备3年以上校园保险服务经验，提供单位盖章证明文件得2分，未提供不得分。 2、其他人员（4分）：包括专属客户经理、专职理赔人员、法务调节、风控安全，提供完整的得4分，缺少1人扣1分。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采购包1投标文件格式</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包含6项：①总体服务方案及项目理解；②保险保障范围；③协助处理方案；④突发事件的处理机制；⑤投诉管理制度；⑥重难点分析。 2、评审标准：（1）评审内容每项满分为2分，共12分；（2）评审内容每缺失一项扣2分，每项内容有下列任意瑕疵的扣0.2分（单项评审内容中有相同瑕疵不重复扣分），扣完为止；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采购包1投标文件格式</w:t>
            </w:r>
          </w:p>
        </w:tc>
      </w:tr>
      <w:tr>
        <w:tc>
          <w:tcPr>
            <w:tcW w:type="dxa" w:w="831"/>
            <w:vMerge/>
          </w:tcPr>
          <w:p/>
        </w:tc>
        <w:tc>
          <w:tcPr>
            <w:tcW w:type="dxa" w:w="1661"/>
          </w:tcPr>
          <w:p>
            <w:pPr>
              <w:pStyle w:val="null3"/>
            </w:pPr>
            <w:r>
              <w:rPr>
                <w:rFonts w:ascii="仿宋_GB2312" w:hAnsi="仿宋_GB2312" w:cs="仿宋_GB2312" w:eastAsia="仿宋_GB2312"/>
              </w:rPr>
              <w:t>理赔方案</w:t>
            </w:r>
          </w:p>
        </w:tc>
        <w:tc>
          <w:tcPr>
            <w:tcW w:type="dxa" w:w="2492"/>
          </w:tcPr>
          <w:p>
            <w:pPr>
              <w:pStyle w:val="null3"/>
            </w:pPr>
            <w:r>
              <w:rPr>
                <w:rFonts w:ascii="仿宋_GB2312" w:hAnsi="仿宋_GB2312" w:cs="仿宋_GB2312" w:eastAsia="仿宋_GB2312"/>
              </w:rPr>
              <w:t>1、评审内容 包含5项：①理赔程序及流程；②理赔响应时间；③理赔注意事项；④报案时效；⑤被保险人理赔材料的处理方案。 2、评审标准 （1）评审内容每项满分为2分，共10分； （2）评审内容每缺失一项扣2分，每项内容有下列任意瑕疵的扣0.2分（单项评审内容中有相同瑕疵不重复扣分），扣完为止；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采购包1投标文件格式</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1、评审内容 包含6项：①应急组织架构；②应急响应时效；③应急事件处理流程；④应急保障物资与人员准备；⑤可预见性的应急事件处理方案⑥应急处置承诺。 2、评审标准 （1）评审内容每项满分为2分，共12分； （2）评审内容每缺失一项扣2分，每项内容有下列任意瑕疵的扣0.2分（单项评审内容中有相同瑕疵不重复扣分），扣完为止；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采购包1投标文件格式</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包含3项：①开通保险理赔服务绿色通道，能够先行垫付赔款；②个别特殊（重大）理赔服务的响应时间，以及后期未能按约履行的赔偿制度；③承诺参保所有信息数据不得外泄，并提供保密措施员。 2、评审标准 （1）评审内容每项满分为2分，共6分； （2）评审内容每缺失一项扣2分，每项内容有下列任意瑕疵的扣0.2分（单项评审内容中有相同瑕疵不重复扣分），扣完为止；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采购包1投标文件格式</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1、评审内容 包含4项：①承保售后服务；②理赔售后服务；③投诉与争议处理服务；④档案管理服务。 2、每项提供明确的服务内容及方案得2分，最高得8分，未提供不得分。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采购包1投标文件格式</w:t>
            </w:r>
          </w:p>
        </w:tc>
      </w:tr>
      <w:tr>
        <w:tc>
          <w:tcPr>
            <w:tcW w:type="dxa" w:w="831"/>
            <w:vMerge/>
          </w:tcPr>
          <w:p/>
        </w:tc>
        <w:tc>
          <w:tcPr>
            <w:tcW w:type="dxa" w:w="1661"/>
          </w:tcPr>
          <w:p>
            <w:pPr>
              <w:pStyle w:val="null3"/>
            </w:pPr>
            <w:r>
              <w:rPr>
                <w:rFonts w:ascii="仿宋_GB2312" w:hAnsi="仿宋_GB2312" w:cs="仿宋_GB2312" w:eastAsia="仿宋_GB2312"/>
              </w:rPr>
              <w:t>其他服务与优惠</w:t>
            </w:r>
          </w:p>
        </w:tc>
        <w:tc>
          <w:tcPr>
            <w:tcW w:type="dxa" w:w="2492"/>
          </w:tcPr>
          <w:p>
            <w:pPr>
              <w:pStyle w:val="null3"/>
            </w:pPr>
            <w:r>
              <w:rPr>
                <w:rFonts w:ascii="仿宋_GB2312" w:hAnsi="仿宋_GB2312" w:cs="仿宋_GB2312" w:eastAsia="仿宋_GB2312"/>
              </w:rPr>
              <w:t>其他增值服务：在满足本项目必备险种且保费不变的基础上，每新增1项保险项目（赔付内容清晰、赔付限额明确）得1分，最高得6分。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采购包1投标文件格式</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投标人需提供2023年1月1日以来独立承担过类似项目业绩，每个业绩计2.5分，最高计5分。 注：业绩证明文件以合同为准，时间以合同签订时间为准，未提供或不清晰导致无法识别的不予认可。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每生每年赔偿限额（校方责任险）</w:t>
            </w:r>
          </w:p>
        </w:tc>
        <w:tc>
          <w:tcPr>
            <w:tcW w:type="dxa" w:w="2492"/>
          </w:tcPr>
          <w:p>
            <w:pPr>
              <w:pStyle w:val="null3"/>
            </w:pPr>
            <w:r>
              <w:rPr>
                <w:rFonts w:ascii="仿宋_GB2312" w:hAnsi="仿宋_GB2312" w:cs="仿宋_GB2312" w:eastAsia="仿宋_GB2312"/>
              </w:rPr>
              <w:t>1、按供应商所报每生每年赔偿限额（校方责任险）从高到低排序，最高每生每年赔偿限额（校方责任险）为评标基准赔偿限额，得10分。 2、每生每年赔偿限额（校方责任险）得分=（各供应商每生每年赔偿限额（校方责任险）/评标基准赔偿限额）×10。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采购包2投标文件格式.docx</w:t>
            </w:r>
          </w:p>
        </w:tc>
      </w:tr>
      <w:tr>
        <w:tc>
          <w:tcPr>
            <w:tcW w:type="dxa" w:w="831"/>
            <w:vMerge/>
          </w:tcPr>
          <w:p/>
        </w:tc>
        <w:tc>
          <w:tcPr>
            <w:tcW w:type="dxa" w:w="1661"/>
          </w:tcPr>
          <w:p>
            <w:pPr>
              <w:pStyle w:val="null3"/>
            </w:pPr>
            <w:r>
              <w:rPr>
                <w:rFonts w:ascii="仿宋_GB2312" w:hAnsi="仿宋_GB2312" w:cs="仿宋_GB2312" w:eastAsia="仿宋_GB2312"/>
              </w:rPr>
              <w:t>每校每次事故赔偿限额（校方责任险）</w:t>
            </w:r>
          </w:p>
        </w:tc>
        <w:tc>
          <w:tcPr>
            <w:tcW w:type="dxa" w:w="2492"/>
          </w:tcPr>
          <w:p>
            <w:pPr>
              <w:pStyle w:val="null3"/>
            </w:pPr>
            <w:r>
              <w:rPr>
                <w:rFonts w:ascii="仿宋_GB2312" w:hAnsi="仿宋_GB2312" w:cs="仿宋_GB2312" w:eastAsia="仿宋_GB2312"/>
              </w:rPr>
              <w:t>1、按供应商所报每校每次事故赔偿限额（校方责任险）从高到低排序，最高每校每次事故赔偿限额（校方责任险）为评标基准赔偿限额，得10分。 2、每校每次事故赔偿限额（校方责任险）得分=（各每校每次事故赔偿限额（校方责任险）/评标基准赔偿限额）×10。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采购包2投标文件格式.docx</w:t>
            </w:r>
          </w:p>
        </w:tc>
      </w:tr>
      <w:tr>
        <w:tc>
          <w:tcPr>
            <w:tcW w:type="dxa" w:w="831"/>
            <w:vMerge/>
          </w:tcPr>
          <w:p/>
        </w:tc>
        <w:tc>
          <w:tcPr>
            <w:tcW w:type="dxa" w:w="1661"/>
          </w:tcPr>
          <w:p>
            <w:pPr>
              <w:pStyle w:val="null3"/>
            </w:pPr>
            <w:r>
              <w:rPr>
                <w:rFonts w:ascii="仿宋_GB2312" w:hAnsi="仿宋_GB2312" w:cs="仿宋_GB2312" w:eastAsia="仿宋_GB2312"/>
              </w:rPr>
              <w:t>每校每年累计赔偿限额（校方责任险）</w:t>
            </w:r>
          </w:p>
        </w:tc>
        <w:tc>
          <w:tcPr>
            <w:tcW w:type="dxa" w:w="2492"/>
          </w:tcPr>
          <w:p>
            <w:pPr>
              <w:pStyle w:val="null3"/>
            </w:pPr>
            <w:r>
              <w:rPr>
                <w:rFonts w:ascii="仿宋_GB2312" w:hAnsi="仿宋_GB2312" w:cs="仿宋_GB2312" w:eastAsia="仿宋_GB2312"/>
              </w:rPr>
              <w:t>1、按供应商所报每校每年累计赔偿限额（校方责任险）从高到低排序，最高每校每年累计赔偿限额（校方责任险）为评标基准赔偿限额，得5分。 2、每校每年累计赔偿限额（校方责任险）得分=（各每校每年累计赔偿限额（校方责任险）/评标基准赔偿限额）×5。</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采购包2投标文件格式.docx</w:t>
            </w:r>
          </w:p>
        </w:tc>
      </w:tr>
      <w:tr>
        <w:tc>
          <w:tcPr>
            <w:tcW w:type="dxa" w:w="831"/>
            <w:vMerge/>
          </w:tcPr>
          <w:p/>
        </w:tc>
        <w:tc>
          <w:tcPr>
            <w:tcW w:type="dxa" w:w="1661"/>
          </w:tcPr>
          <w:p>
            <w:pPr>
              <w:pStyle w:val="null3"/>
            </w:pPr>
            <w:r>
              <w:rPr>
                <w:rFonts w:ascii="仿宋_GB2312" w:hAnsi="仿宋_GB2312" w:cs="仿宋_GB2312" w:eastAsia="仿宋_GB2312"/>
              </w:rPr>
              <w:t>综合偿付能力充足率</w:t>
            </w:r>
          </w:p>
        </w:tc>
        <w:tc>
          <w:tcPr>
            <w:tcW w:type="dxa" w:w="2492"/>
          </w:tcPr>
          <w:p>
            <w:pPr>
              <w:pStyle w:val="null3"/>
            </w:pPr>
            <w:r>
              <w:rPr>
                <w:rFonts w:ascii="仿宋_GB2312" w:hAnsi="仿宋_GB2312" w:cs="仿宋_GB2312" w:eastAsia="仿宋_GB2312"/>
              </w:rPr>
              <w:t>根据供应商一年来综合偿付能力充足率情况进⾏综合评分。 ①综合偿付能⼒充⾜率连续四个季度均≥200%，得8分； ②只有三个季度≥200%，得6分；③只有两个季度≥200%，得4分； ④只有⼀个季度≥200%，得2分；⑤四个季度均在200% 以下，不得分。 注：供应商需提供在中国保险⾏业协会官⽹（www.iachina.cn）查询到的机构基本信息及综合偿付能⼒充⾜率的数据截图并加盖单位公章，未提供不得分。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采购包2投标文件格式.docx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1、项目负责人（4分）：①具备本科及以上学历，提供学历证明得2分，未提供不得分。②项目负责人具备3年以上校园保险服务经验，提供单位盖章证明文件得2分，未提供不得分。 2、其他人员（4分）：包括专属客户经理、专职理赔人员、法务调节、风控安全，提供完整的得4分，缺少1人扣1分。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采购包2投标文件格式.docx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包含6项：①总体服务方案及项目理解；②保险保障范围；③协助处理方案；④突发事件的处理机制；⑤投诉管理制度；⑥重难点分析。 2、评审标准：（1）评审内容每项满分为2分，共12分；（2）评审内容每缺失一项扣2分，每项内容有下列任意瑕疵的扣0.2分（单项评审内容中有相同瑕疵不重复扣分），扣完为止；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采购包2投标文件格式.docx</w:t>
            </w:r>
          </w:p>
        </w:tc>
      </w:tr>
      <w:tr>
        <w:tc>
          <w:tcPr>
            <w:tcW w:type="dxa" w:w="831"/>
            <w:vMerge/>
          </w:tcPr>
          <w:p/>
        </w:tc>
        <w:tc>
          <w:tcPr>
            <w:tcW w:type="dxa" w:w="1661"/>
          </w:tcPr>
          <w:p>
            <w:pPr>
              <w:pStyle w:val="null3"/>
            </w:pPr>
            <w:r>
              <w:rPr>
                <w:rFonts w:ascii="仿宋_GB2312" w:hAnsi="仿宋_GB2312" w:cs="仿宋_GB2312" w:eastAsia="仿宋_GB2312"/>
              </w:rPr>
              <w:t>理赔方案</w:t>
            </w:r>
          </w:p>
        </w:tc>
        <w:tc>
          <w:tcPr>
            <w:tcW w:type="dxa" w:w="2492"/>
          </w:tcPr>
          <w:p>
            <w:pPr>
              <w:pStyle w:val="null3"/>
            </w:pPr>
            <w:r>
              <w:rPr>
                <w:rFonts w:ascii="仿宋_GB2312" w:hAnsi="仿宋_GB2312" w:cs="仿宋_GB2312" w:eastAsia="仿宋_GB2312"/>
              </w:rPr>
              <w:t>1、评审内容 包含5项：①理赔程序及流程；②理赔响应时间；③理赔注意事项；④报案时效；⑤被保险人理赔材料的处理方案。 2、评审标准 （1）评审内容每项满分为2分，共10分； （2）评审内容每缺失一项扣2分，每项内容有下列任意瑕疵的扣0.2分（单项评审内容中有相同瑕疵不重复扣分），扣完为止；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采购包2投标文件格式.docx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1、评审内容 包含6项：①应急组织架构；②应急响应时效；③应急事件处理流程；④应急保障物资与人员准备；⑤可预见性的应急事件处理方案⑥应急处置承诺。 2、评审标准 （1）评审内容每项满分为2分，共12分； （2）评审内容每缺失一项扣2分，每项内容有下列任意瑕疵的扣0.2分（单项评审内容中有相同瑕疵不重复扣分），扣完为止；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采购包2投标文件格式.docx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包含3项：①开通保险理赔服务绿色通道，能够先行垫付赔款；②个别特殊（重大）理赔服务的响应时间，以及后期未能按约履行的赔偿制度；③承诺参保所有信息数据不得外泄，并提供保密措施员。 2、评审标准 （1）评审内容每项满分为2分，共6分； （2）评审内容每缺失一项扣2分，每项内容有下列任意瑕疵的扣0.2分（单项评审内容中有相同瑕疵不重复扣分），扣完为止；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采购包2投标文件格式.docx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1、评审内容 包含4项：①承保售后服务；②理赔售后服务；③投诉与争议处理服务；④档案管理服务。 2、每项提供明确的服务内容及方案得2分，最高得8分，未提供不得分。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采购包2投标文件格式.docx</w:t>
            </w:r>
          </w:p>
        </w:tc>
      </w:tr>
      <w:tr>
        <w:tc>
          <w:tcPr>
            <w:tcW w:type="dxa" w:w="831"/>
            <w:vMerge/>
          </w:tcPr>
          <w:p/>
        </w:tc>
        <w:tc>
          <w:tcPr>
            <w:tcW w:type="dxa" w:w="1661"/>
          </w:tcPr>
          <w:p>
            <w:pPr>
              <w:pStyle w:val="null3"/>
            </w:pPr>
            <w:r>
              <w:rPr>
                <w:rFonts w:ascii="仿宋_GB2312" w:hAnsi="仿宋_GB2312" w:cs="仿宋_GB2312" w:eastAsia="仿宋_GB2312"/>
              </w:rPr>
              <w:t>其他服务与优惠</w:t>
            </w:r>
          </w:p>
        </w:tc>
        <w:tc>
          <w:tcPr>
            <w:tcW w:type="dxa" w:w="2492"/>
          </w:tcPr>
          <w:p>
            <w:pPr>
              <w:pStyle w:val="null3"/>
            </w:pPr>
            <w:r>
              <w:rPr>
                <w:rFonts w:ascii="仿宋_GB2312" w:hAnsi="仿宋_GB2312" w:cs="仿宋_GB2312" w:eastAsia="仿宋_GB2312"/>
              </w:rPr>
              <w:t>其他增值服务：在满足本项目必备险种且保费不变的基础上，每新增1项保险项目（赔付内容清晰、赔付限额明确）得1分，最高得6分。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采购包2投标文件格式.docx</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投标人需提供2023年1月1日以来独立承担过类似项目业绩，每个业绩计2.5分，最高计5分。 注：业绩证明文件以合同为准，时间以合同签订时间为准，未提供或不清晰导致无法识别的不予认可。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每生每年赔偿限额（校方责任险）</w:t>
            </w:r>
          </w:p>
        </w:tc>
        <w:tc>
          <w:tcPr>
            <w:tcW w:type="dxa" w:w="2492"/>
          </w:tcPr>
          <w:p>
            <w:pPr>
              <w:pStyle w:val="null3"/>
            </w:pPr>
            <w:r>
              <w:rPr>
                <w:rFonts w:ascii="仿宋_GB2312" w:hAnsi="仿宋_GB2312" w:cs="仿宋_GB2312" w:eastAsia="仿宋_GB2312"/>
              </w:rPr>
              <w:t>1、按供应商所报每生每年赔偿限额（校方责任险）从高到低排序，最高每生每年赔偿限额（校方责任险）为评标基准赔偿限额，得10分。 2、每生每年赔偿限额（校方责任险）得分=（各供应商每生每年赔偿限额（校方责任险）/评标基准赔偿限额）×10。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采购包3投标文件格式.docx</w:t>
            </w:r>
          </w:p>
        </w:tc>
      </w:tr>
      <w:tr>
        <w:tc>
          <w:tcPr>
            <w:tcW w:type="dxa" w:w="831"/>
            <w:vMerge/>
          </w:tcPr>
          <w:p/>
        </w:tc>
        <w:tc>
          <w:tcPr>
            <w:tcW w:type="dxa" w:w="1661"/>
          </w:tcPr>
          <w:p>
            <w:pPr>
              <w:pStyle w:val="null3"/>
            </w:pPr>
            <w:r>
              <w:rPr>
                <w:rFonts w:ascii="仿宋_GB2312" w:hAnsi="仿宋_GB2312" w:cs="仿宋_GB2312" w:eastAsia="仿宋_GB2312"/>
              </w:rPr>
              <w:t>每校每次事故赔偿限额（校方责任险）</w:t>
            </w:r>
          </w:p>
        </w:tc>
        <w:tc>
          <w:tcPr>
            <w:tcW w:type="dxa" w:w="2492"/>
          </w:tcPr>
          <w:p>
            <w:pPr>
              <w:pStyle w:val="null3"/>
            </w:pPr>
            <w:r>
              <w:rPr>
                <w:rFonts w:ascii="仿宋_GB2312" w:hAnsi="仿宋_GB2312" w:cs="仿宋_GB2312" w:eastAsia="仿宋_GB2312"/>
              </w:rPr>
              <w:t>1、按供应商所报每校每次事故赔偿限额（校方责任险）从高到低排序，最高每校每次事故赔偿限额（校方责任险）为评标基准赔偿限额，得10分。 2、每校每次事故赔偿限额（校方责任险）得分=（各每校每次事故赔偿限额（校方责任险）/评标基准赔偿限额）×10。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采购包3投标文件格式.docx</w:t>
            </w:r>
          </w:p>
        </w:tc>
      </w:tr>
      <w:tr>
        <w:tc>
          <w:tcPr>
            <w:tcW w:type="dxa" w:w="831"/>
            <w:vMerge/>
          </w:tcPr>
          <w:p/>
        </w:tc>
        <w:tc>
          <w:tcPr>
            <w:tcW w:type="dxa" w:w="1661"/>
          </w:tcPr>
          <w:p>
            <w:pPr>
              <w:pStyle w:val="null3"/>
            </w:pPr>
            <w:r>
              <w:rPr>
                <w:rFonts w:ascii="仿宋_GB2312" w:hAnsi="仿宋_GB2312" w:cs="仿宋_GB2312" w:eastAsia="仿宋_GB2312"/>
              </w:rPr>
              <w:t>每校每年累计赔偿限额（校方责任险）</w:t>
            </w:r>
          </w:p>
        </w:tc>
        <w:tc>
          <w:tcPr>
            <w:tcW w:type="dxa" w:w="2492"/>
          </w:tcPr>
          <w:p>
            <w:pPr>
              <w:pStyle w:val="null3"/>
            </w:pPr>
            <w:r>
              <w:rPr>
                <w:rFonts w:ascii="仿宋_GB2312" w:hAnsi="仿宋_GB2312" w:cs="仿宋_GB2312" w:eastAsia="仿宋_GB2312"/>
              </w:rPr>
              <w:t>1、按供应商所报每校每年累计赔偿限额（校方责任险）从高到低排序，最高每校每年累计赔偿限额（校方责任险）为评标基准赔偿限额，得5分。 2、每校每年累计赔偿限额（校方责任险）得分=（各每校每年累计赔偿限额（校方责任险）/评标基准赔偿限额）×5。</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采购包3投标文件格式.docx</w:t>
            </w:r>
          </w:p>
        </w:tc>
      </w:tr>
      <w:tr>
        <w:tc>
          <w:tcPr>
            <w:tcW w:type="dxa" w:w="831"/>
            <w:vMerge/>
          </w:tcPr>
          <w:p/>
        </w:tc>
        <w:tc>
          <w:tcPr>
            <w:tcW w:type="dxa" w:w="1661"/>
          </w:tcPr>
          <w:p>
            <w:pPr>
              <w:pStyle w:val="null3"/>
            </w:pPr>
            <w:r>
              <w:rPr>
                <w:rFonts w:ascii="仿宋_GB2312" w:hAnsi="仿宋_GB2312" w:cs="仿宋_GB2312" w:eastAsia="仿宋_GB2312"/>
              </w:rPr>
              <w:t>综合偿付能力充足率</w:t>
            </w:r>
          </w:p>
        </w:tc>
        <w:tc>
          <w:tcPr>
            <w:tcW w:type="dxa" w:w="2492"/>
          </w:tcPr>
          <w:p>
            <w:pPr>
              <w:pStyle w:val="null3"/>
            </w:pPr>
            <w:r>
              <w:rPr>
                <w:rFonts w:ascii="仿宋_GB2312" w:hAnsi="仿宋_GB2312" w:cs="仿宋_GB2312" w:eastAsia="仿宋_GB2312"/>
              </w:rPr>
              <w:t>根据供应商一年来综合偿付能力充足率情况进⾏综合评分。 ①综合偿付能⼒充⾜率连续四个季度均≥200%，得8分； ②只有三个季度≥200%，得6分；③只有两个季度≥200%，得4分； ④只有⼀个季度≥200%，得2分；⑤四个季度均在200% 以下，不得分。 注：供应商需提供在中国保险⾏业协会官⽹（www.iachina.cn）查询到的机构基本信息及综合偿付能⼒充⾜率的数据截图并加盖单位公章，未提供不得分。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采购包3投标文件格式.docx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1、项目负责人（4分）：①具备本科及以上学历，提供学历证明得2分，未提供不得分。②项目负责人具备3年以上校园保险服务经验，提供单位盖章证明文件得2分，未提供不得分。 2、其他人员（4分）：包括专属客户经理、专职理赔人员、法务调节、风控安全，提供完整的得4分，缺少1人扣1分。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采购包3投标文件格式.docx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包含6项：①总体服务方案及项目理解；②保险保障范围；③协助处理方案；④突发事件的处理机制；⑤投诉管理制度；⑥重难点分析。 2、评审标准：（1）评审内容每项满分为2分，共12分；（2）评审内容每缺失一项扣2分，每项内容有下列任意瑕疵的扣0.2分（单项评审内容中有相同瑕疵不重复扣分），扣完为止；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采购包3投标文件格式.docx</w:t>
            </w:r>
          </w:p>
        </w:tc>
      </w:tr>
      <w:tr>
        <w:tc>
          <w:tcPr>
            <w:tcW w:type="dxa" w:w="831"/>
            <w:vMerge/>
          </w:tcPr>
          <w:p/>
        </w:tc>
        <w:tc>
          <w:tcPr>
            <w:tcW w:type="dxa" w:w="1661"/>
          </w:tcPr>
          <w:p>
            <w:pPr>
              <w:pStyle w:val="null3"/>
            </w:pPr>
            <w:r>
              <w:rPr>
                <w:rFonts w:ascii="仿宋_GB2312" w:hAnsi="仿宋_GB2312" w:cs="仿宋_GB2312" w:eastAsia="仿宋_GB2312"/>
              </w:rPr>
              <w:t>理赔方案</w:t>
            </w:r>
          </w:p>
        </w:tc>
        <w:tc>
          <w:tcPr>
            <w:tcW w:type="dxa" w:w="2492"/>
          </w:tcPr>
          <w:p>
            <w:pPr>
              <w:pStyle w:val="null3"/>
            </w:pPr>
            <w:r>
              <w:rPr>
                <w:rFonts w:ascii="仿宋_GB2312" w:hAnsi="仿宋_GB2312" w:cs="仿宋_GB2312" w:eastAsia="仿宋_GB2312"/>
              </w:rPr>
              <w:t>1、评审内容 包含5项：①理赔程序及流程；②理赔响应时间；③理赔注意事项；④报案时效；⑤被保险人理赔材料的处理方案。 2、评审标准 （1）评审内容每项满分为2分，共10分； （2）评审内容每缺失一项扣2分，每项内容有下列任意瑕疵的扣0.2分（单项评审内容中有相同瑕疵不重复扣分），扣完为止；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采购包3投标文件格式.docx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1、评审内容 包含6项：①应急组织架构；②应急响应时效；③应急事件处理流程；④应急保障物资与人员准备；⑤可预见性的应急事件处理方案⑥应急处置承诺。 2、评审标准 （1）评审内容每项满分为2分，共12分； （2）评审内容每缺失一项扣2分，每项内容有下列任意瑕疵的扣0.2分（单项评审内容中有相同瑕疵不重复扣分），扣完为止；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采购包3投标文件格式.docx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包含3项：①开通保险理赔服务绿色通道，能够先行垫付赔款；②个别特殊（重大）理赔服务的响应时间，以及后期未能按约履行的赔偿制度；③承诺参保所有信息数据不得外泄，并提供保密措施员。 2、评审标准 （1）评审内容每项满分为2分，共6分； （2）评审内容每缺失一项扣2分，每项内容有下列任意瑕疵的扣0.2分（单项评审内容中有相同瑕疵不重复扣分），扣完为止；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采购包3投标文件格式.docx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1、评审内容 包含4项：①承保售后服务；②理赔售后服务；③投诉与争议处理服务；④档案管理服务。 2、每项提供明确的服务内容及方案得2分，最高得8分，未提供不得分。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采购包3投标文件格式.docx</w:t>
            </w:r>
          </w:p>
        </w:tc>
      </w:tr>
      <w:tr>
        <w:tc>
          <w:tcPr>
            <w:tcW w:type="dxa" w:w="831"/>
            <w:vMerge/>
          </w:tcPr>
          <w:p/>
        </w:tc>
        <w:tc>
          <w:tcPr>
            <w:tcW w:type="dxa" w:w="1661"/>
          </w:tcPr>
          <w:p>
            <w:pPr>
              <w:pStyle w:val="null3"/>
            </w:pPr>
            <w:r>
              <w:rPr>
                <w:rFonts w:ascii="仿宋_GB2312" w:hAnsi="仿宋_GB2312" w:cs="仿宋_GB2312" w:eastAsia="仿宋_GB2312"/>
              </w:rPr>
              <w:t>其他服务与优惠</w:t>
            </w:r>
          </w:p>
        </w:tc>
        <w:tc>
          <w:tcPr>
            <w:tcW w:type="dxa" w:w="2492"/>
          </w:tcPr>
          <w:p>
            <w:pPr>
              <w:pStyle w:val="null3"/>
            </w:pPr>
            <w:r>
              <w:rPr>
                <w:rFonts w:ascii="仿宋_GB2312" w:hAnsi="仿宋_GB2312" w:cs="仿宋_GB2312" w:eastAsia="仿宋_GB2312"/>
              </w:rPr>
              <w:t>其他增值服务：在满足本项目必备险种且保费不变的基础上，每新增1项保险项目（赔付内容清晰、赔付限额明确）得1分，最高得6分。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采购包3投标文件格式.docx</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投标人需提供2023年1月1日以来独立承担过类似项目业绩，每个业绩计2.5分，最高计5分。 注：业绩证明文件以合同为准，时间以合同签订时间为准，未提供或不清晰导致无法识别的不予认可。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详见附件：类似业绩一览表</w:t>
      </w:r>
    </w:p>
    <w:p>
      <w:pPr>
        <w:pStyle w:val="null3"/>
        <w:ind w:firstLine="960"/>
      </w:pPr>
      <w:r>
        <w:rPr>
          <w:rFonts w:ascii="仿宋_GB2312" w:hAnsi="仿宋_GB2312" w:cs="仿宋_GB2312" w:eastAsia="仿宋_GB2312"/>
        </w:rPr>
        <w:t>详见附件：采购包1投标文件格式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详见附件：类似业绩一览表</w:t>
      </w:r>
    </w:p>
    <w:p>
      <w:pPr>
        <w:pStyle w:val="null3"/>
        <w:ind w:firstLine="960"/>
      </w:pPr>
      <w:r>
        <w:rPr>
          <w:rFonts w:ascii="仿宋_GB2312" w:hAnsi="仿宋_GB2312" w:cs="仿宋_GB2312" w:eastAsia="仿宋_GB2312"/>
        </w:rPr>
        <w:t>详见附件：采购包2投标文件格式.docx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详见附件：类似业绩一览表</w:t>
      </w:r>
    </w:p>
    <w:p>
      <w:pPr>
        <w:pStyle w:val="null3"/>
        <w:ind w:firstLine="960"/>
      </w:pPr>
      <w:r>
        <w:rPr>
          <w:rFonts w:ascii="仿宋_GB2312" w:hAnsi="仿宋_GB2312" w:cs="仿宋_GB2312" w:eastAsia="仿宋_GB2312"/>
        </w:rPr>
        <w:t>详见附件：采购包3投标文件格式.docx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