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061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36"/>
          <w:highlight w:val="none"/>
        </w:rPr>
      </w:pPr>
      <w:bookmarkStart w:id="2" w:name="_GoBack"/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eastAsia="zh-CN"/>
        </w:rPr>
        <w:t>企业业绩</w:t>
      </w:r>
      <w:bookmarkEnd w:id="2"/>
    </w:p>
    <w:p w14:paraId="6EF6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71A41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D9B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4538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BDAE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3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AF43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3D1A4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1B98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42E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EC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6480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3CC99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A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2613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3D6DEB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0F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EFD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75763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06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6D91F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FD7C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A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B143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92FD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E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4FA0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7C73C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5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5E31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F409F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7C7A5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13958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43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2A9401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2C467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A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601B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A3437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C3DEB0C">
      <w:bookmarkStart w:id="0" w:name="_Toc27299"/>
      <w:bookmarkStart w:id="1" w:name="_Toc24084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D515E"/>
    <w:rsid w:val="66DD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2026-05-29T09:01:00Z</dcterms:created>
  <dc:creator>姚瑶</dc:creator>
  <cp:lastModifiedBy>姚瑶</cp:lastModifiedBy>
  <dcterms:modified xsi:type="dcterms:W3CDTF">2026-05-29T09:02:00Z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F397A088F9E24684AC3670440A910F8D_11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