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926DE">
      <w:pPr>
        <w:numPr>
          <w:ilvl w:val="0"/>
          <w:numId w:val="0"/>
        </w:numPr>
        <w:spacing w:line="60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 w:bidi="ar-SA"/>
        </w:rPr>
        <w:t>对项目整体理解</w:t>
      </w:r>
      <w:bookmarkStart w:id="0" w:name="_GoBack"/>
      <w:r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 w:bidi="ar-SA"/>
        </w:rPr>
        <w:t>及施工方案</w:t>
      </w:r>
    </w:p>
    <w:bookmarkEnd w:id="0"/>
    <w:p w14:paraId="5A21F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 w:bidi="ar-SA"/>
        </w:rPr>
        <w:t>供应商应根据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磋商文件“第三章  技术标准及要求”及“第六章  磋商办法”编制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对项目整体理解及施工方案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C79A7"/>
    <w:rsid w:val="682C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2026-05-29T09:08:00Z</dcterms:created>
  <dc:creator>姚瑶</dc:creator>
  <cp:lastModifiedBy>姚瑶</cp:lastModifiedBy>
  <dcterms:modified xsi:type="dcterms:W3CDTF">2026-05-29T09:09:06Z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21FAF351E2C54E58B1AE80C1B915D4D7_11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