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6A623">
      <w:pPr>
        <w:pStyle w:val="4"/>
        <w:numPr>
          <w:ilvl w:val="0"/>
          <w:numId w:val="0"/>
        </w:numPr>
        <w:spacing w:line="600" w:lineRule="auto"/>
        <w:jc w:val="center"/>
        <w:rPr>
          <w:rFonts w:hint="default" w:ascii="宋体" w:hAnsi="宋体" w:eastAsia="宋体" w:cs="宋体"/>
          <w:b/>
          <w:bCs/>
          <w:color w:val="auto"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lang w:val="en-US" w:eastAsia="zh-CN"/>
        </w:rPr>
        <w:t>质量管理体系与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lang w:val="en-US" w:eastAsia="zh-CN"/>
        </w:rPr>
        <w:t>保证措施</w:t>
      </w:r>
    </w:p>
    <w:p w14:paraId="5A8668C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磋商办法”编制质量管理体系与保证措施。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4E7346"/>
    <w:rsid w:val="554E7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2026-05-29T08:55:00Z</dcterms:created>
  <dc:creator>姚瑶</dc:creator>
  <cp:lastModifiedBy>姚瑶</cp:lastModifiedBy>
  <dcterms:modified xsi:type="dcterms:W3CDTF">2026-05-29T08:57:34Z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FC5ADF5F3D6F40BD8DACE5DB07E50DD3_11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