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版本号：【KRDL】K4-260507020260529001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雁塔校区建大附中教学楼提升改造项目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【KRDL】K4-2605070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雁塔校区建大附中教学楼提升改造项目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雁塔校区建大附中教学楼提升改造项目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规范校园整体形象，提升校园环境，全面改善校舍基础设施条件，本项目拟对西安建筑科技大学附属中学教学楼进行改造。主要实施内容包括：建大附中高中部教学楼室内装修、高中部门头改造装修，以及南院附中教学楼室外连廊设计图纸中的全部内容等。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采购包1（雁塔校区建大附中教学楼提升改造项目）：属于专门面向中小企业采购。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3、税收缴纳证明：供应商提供自2025年5月至今已缴纳的至少一个月纳税证明或完税证明，依法免税的单位应提供相关证明材料；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资质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采购包1：974,100.00元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所有约定内容（含保修期）履约完毕无质量问题后无息退还。若保修期内出现质量问题成交供应商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踏勘时间：2026-06-06 09:00:00</w:t>
            </w:r>
          </w:p>
          <w:p>
            <w:pPr>
              <w:pStyle w:val="null3"/>
              <w:ind w:firstLine="975"/>
            </w:pPr>
            <w:r>
              <w:rPr>
                <w:rFonts w:ascii="仿宋_GB2312" w:hAnsi="仿宋_GB2312" w:cs="仿宋_GB2312" w:eastAsia="仿宋_GB2312"/>
              </w:rPr>
              <w:t>踏勘地点：西安建筑科技大学雁塔校区南门</w:t>
            </w:r>
          </w:p>
          <w:p>
            <w:pPr>
              <w:pStyle w:val="null3"/>
              <w:ind w:firstLine="975"/>
            </w:pPr>
            <w:r>
              <w:rPr>
                <w:rFonts w:ascii="仿宋_GB2312" w:hAnsi="仿宋_GB2312" w:cs="仿宋_GB2312" w:eastAsia="仿宋_GB2312"/>
              </w:rPr>
              <w:t>联系人：贾工</w:t>
            </w:r>
          </w:p>
          <w:p>
            <w:pPr>
              <w:pStyle w:val="null3"/>
              <w:ind w:firstLine="975"/>
            </w:pPr>
            <w:r>
              <w:rPr>
                <w:rFonts w:ascii="仿宋_GB2312" w:hAnsi="仿宋_GB2312" w:cs="仿宋_GB2312" w:eastAsia="仿宋_GB2312"/>
              </w:rPr>
              <w:t>联系电话号码：15667067713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联系人：代光艳、路坦、贾亚妮</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974,100.00</w:t>
      </w:r>
    </w:p>
    <w:p>
      <w:pPr>
        <w:pStyle w:val="null3"/>
      </w:pPr>
      <w:r>
        <w:rPr>
          <w:rFonts w:ascii="仿宋_GB2312" w:hAnsi="仿宋_GB2312" w:cs="仿宋_GB2312" w:eastAsia="仿宋_GB2312"/>
        </w:rPr>
        <w:t>采购包最高限价（元）: 974,100.00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雁塔校区建大附中教学楼提升改造项目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974,100.00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标的名称：雁塔校区建大附中教学楼提升改造项目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项目概况</w:t>
            </w:r>
          </w:p>
          <w:p>
            <w:pPr>
              <w:pStyle w:val="null3"/>
              <w:ind w:firstLine="480"/>
              <w:jc w:val="left"/>
            </w:pPr>
            <w:r>
              <w:rPr>
                <w:rFonts w:ascii="仿宋_GB2312" w:hAnsi="仿宋_GB2312" w:cs="仿宋_GB2312" w:eastAsia="仿宋_GB2312"/>
                <w:sz w:val="24"/>
              </w:rPr>
              <w:t>为进一步规范校园整体形象，提升校园环境，全面改善校舍基础设施条件，本项目拟对西安建筑科技大学附属中学教学楼进行改造。主要实施内容包括：建大附中高中部教学楼室内装修、高中部门头改造装修，以及南院附中教学楼室外连廊设计图纸中的全部内容</w:t>
            </w:r>
            <w:r>
              <w:rPr>
                <w:rFonts w:ascii="仿宋_GB2312" w:hAnsi="仿宋_GB2312" w:cs="仿宋_GB2312" w:eastAsia="仿宋_GB2312"/>
                <w:sz w:val="24"/>
              </w:rPr>
              <w:t>等。</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2.本工程其他技术标准及要求执行现行规范和采购人实际需求。</w:t>
            </w:r>
          </w:p>
          <w:p>
            <w:pPr>
              <w:pStyle w:val="null3"/>
              <w:ind w:firstLine="480"/>
              <w:jc w:val="both"/>
            </w:pPr>
            <w:r>
              <w:rPr>
                <w:rFonts w:ascii="仿宋_GB2312" w:hAnsi="仿宋_GB2312" w:cs="仿宋_GB2312" w:eastAsia="仿宋_GB2312"/>
                <w:sz w:val="24"/>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8.成交供应商必须自行施工，不得转包、分包。</w:t>
            </w:r>
          </w:p>
          <w:p>
            <w:pPr>
              <w:pStyle w:val="null3"/>
              <w:ind w:firstLine="480"/>
              <w:jc w:val="both"/>
            </w:pPr>
            <w:r>
              <w:rPr>
                <w:rFonts w:ascii="仿宋_GB2312" w:hAnsi="仿宋_GB2312" w:cs="仿宋_GB2312" w:eastAsia="仿宋_GB2312"/>
                <w:sz w:val="24"/>
              </w:rPr>
              <w:t>9.成交供应商在施工过程中不得影响学校的日常生活、工作秩序。</w:t>
            </w:r>
          </w:p>
          <w:p>
            <w:pPr>
              <w:pStyle w:val="null3"/>
              <w:ind w:firstLine="480"/>
              <w:jc w:val="both"/>
            </w:pPr>
            <w:r>
              <w:rPr>
                <w:rFonts w:ascii="仿宋_GB2312" w:hAnsi="仿宋_GB2312" w:cs="仿宋_GB2312" w:eastAsia="仿宋_GB2312"/>
                <w:sz w:val="24"/>
              </w:rPr>
              <w:t>10.现场垃圾清运、治污减霾工作由成交供应商全权负责，供应商应负责做</w:t>
            </w:r>
            <w:r>
              <w:rPr>
                <w:rFonts w:ascii="仿宋_GB2312" w:hAnsi="仿宋_GB2312" w:cs="仿宋_GB2312" w:eastAsia="仿宋_GB2312"/>
                <w:sz w:val="24"/>
              </w:rPr>
              <w:t>好项目的扬尘防治工作及垃圾清运工作。</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工程</w:t>
            </w:r>
            <w:r>
              <w:rPr>
                <w:rFonts w:ascii="仿宋_GB2312" w:hAnsi="仿宋_GB2312" w:cs="仿宋_GB2312" w:eastAsia="仿宋_GB2312"/>
                <w:sz w:val="24"/>
              </w:rPr>
              <w:t>质量验收合格需完全满足《建筑工程施工质量验收统一标准》（</w:t>
            </w:r>
            <w:r>
              <w:rPr>
                <w:rFonts w:ascii="仿宋_GB2312" w:hAnsi="仿宋_GB2312" w:cs="仿宋_GB2312" w:eastAsia="仿宋_GB2312"/>
                <w:sz w:val="24"/>
              </w:rPr>
              <w:t>GB50300-2013）的要求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图纸</w:t>
            </w:r>
            <w:r>
              <w:rPr>
                <w:rFonts w:ascii="仿宋_GB2312" w:hAnsi="仿宋_GB2312" w:cs="仿宋_GB2312" w:eastAsia="仿宋_GB2312"/>
                <w:sz w:val="24"/>
                <w:b/>
              </w:rPr>
              <w:t>及相关要求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图纸：</w:t>
            </w:r>
            <w:r>
              <w:rPr>
                <w:rFonts w:ascii="仿宋_GB2312" w:hAnsi="仿宋_GB2312" w:cs="仿宋_GB2312" w:eastAsia="仿宋_GB2312"/>
                <w:sz w:val="24"/>
              </w:rPr>
              <w:t>另册提供，详见附件</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2.主要材料技术参数要求</w:t>
            </w:r>
          </w:p>
          <w:tbl>
            <w:tblPr>
              <w:tblBorders>
                <w:top w:val="none" w:color="000000" w:sz="4"/>
                <w:left w:val="none" w:color="000000" w:sz="4"/>
                <w:bottom w:val="none" w:color="000000" w:sz="4"/>
                <w:right w:val="none" w:color="000000" w:sz="4"/>
                <w:insideH w:val="none"/>
                <w:insideV w:val="none"/>
              </w:tblBorders>
            </w:tblPr>
            <w:tblGrid>
              <w:gridCol w:w="287"/>
              <w:gridCol w:w="287"/>
              <w:gridCol w:w="438"/>
              <w:gridCol w:w="1541"/>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序号</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类别</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材料名称</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参数、标准、要求</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装饰装修</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乳胶漆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1.乳胶漆挥发性有机化合物含量（60°光泽≤10）≤50g/L</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乳胶漆挥发性有机化合物含量（</w:t>
                  </w:r>
                  <w:r>
                    <w:rPr>
                      <w:rFonts w:ascii="仿宋_GB2312" w:hAnsi="仿宋_GB2312" w:cs="仿宋_GB2312" w:eastAsia="仿宋_GB2312"/>
                      <w:sz w:val="24"/>
                    </w:rPr>
                    <w:t>60°光泽＞10）≤80g/L</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乳胶漆甲醛含量（乙酰丙酮法）</w:t>
                  </w:r>
                  <w:r>
                    <w:rPr>
                      <w:rFonts w:ascii="仿宋_GB2312" w:hAnsi="仿宋_GB2312" w:cs="仿宋_GB2312" w:eastAsia="仿宋_GB2312"/>
                      <w:sz w:val="24"/>
                    </w:rPr>
                    <w:t>≤30mg/kg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乳胶漆苯、甲苯、乙苯、二甲苯总和</w:t>
                  </w:r>
                  <w:r>
                    <w:rPr>
                      <w:rFonts w:ascii="仿宋_GB2312" w:hAnsi="仿宋_GB2312" w:cs="仿宋_GB2312" w:eastAsia="仿宋_GB2312"/>
                      <w:sz w:val="24"/>
                    </w:rPr>
                    <w:t>≤80mg/kg</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耐洗刷性：</w:t>
                  </w:r>
                  <w:r>
                    <w:rPr>
                      <w:rFonts w:ascii="仿宋_GB2312" w:hAnsi="仿宋_GB2312" w:cs="仿宋_GB2312" w:eastAsia="仿宋_GB2312"/>
                      <w:sz w:val="24"/>
                    </w:rPr>
                    <w:t>≥6000次</w:t>
                  </w:r>
                </w:p>
                <w:p>
                  <w:pPr>
                    <w:pStyle w:val="null3"/>
                    <w:jc w:val="both"/>
                  </w:pPr>
                  <w:r>
                    <w:rPr>
                      <w:rFonts w:ascii="仿宋_GB2312" w:hAnsi="仿宋_GB2312" w:cs="仿宋_GB2312" w:eastAsia="仿宋_GB2312"/>
                      <w:sz w:val="24"/>
                    </w:rPr>
                    <w:t>非工程款竹炭净味漆，甲醛净化效率</w:t>
                  </w:r>
                  <w:r>
                    <w:rPr>
                      <w:rFonts w:ascii="仿宋_GB2312" w:hAnsi="仿宋_GB2312" w:cs="仿宋_GB2312" w:eastAsia="仿宋_GB2312"/>
                      <w:sz w:val="24"/>
                    </w:rPr>
                    <w:t>≥80%，竹炭颗粒细度≤50纳米，VOC≤10g/L，符合GB18582-2020标准，未添加香精、溶剂，游离甲醛≤5mg/kg，通过CNAS认证，节能环保产品，符合本项目工程量清单、施工图纸相关要求，符合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墙地瓷砖</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通</w:t>
                  </w:r>
                  <w:r>
                    <w:rPr>
                      <w:rFonts w:ascii="仿宋_GB2312" w:hAnsi="仿宋_GB2312" w:cs="仿宋_GB2312" w:eastAsia="仿宋_GB2312"/>
                      <w:sz w:val="24"/>
                    </w:rPr>
                    <w:t>过</w:t>
                  </w:r>
                  <w:r>
                    <w:rPr>
                      <w:rFonts w:ascii="仿宋_GB2312" w:hAnsi="仿宋_GB2312" w:cs="仿宋_GB2312" w:eastAsia="仿宋_GB2312"/>
                      <w:sz w:val="24"/>
                    </w:rPr>
                    <w:t>3C认证，执行标准GB/T4100-2015附录G，干压陶瓷E≤0.5%BIa类M，吸水率≤0.5%，摩擦系数≥0.5，符合GB6566-2010建筑材料放射性核素限量中放射性水平A类。</w:t>
                  </w:r>
                  <w:r>
                    <w:rPr>
                      <w:rFonts w:ascii="仿宋_GB2312" w:hAnsi="仿宋_GB2312" w:cs="仿宋_GB2312" w:eastAsia="仿宋_GB2312"/>
                      <w:sz w:val="24"/>
                    </w:rPr>
                    <w:t>产品内照射指数</w:t>
                  </w:r>
                  <w:r>
                    <w:rPr>
                      <w:rFonts w:ascii="仿宋_GB2312" w:hAnsi="仿宋_GB2312" w:cs="仿宋_GB2312" w:eastAsia="仿宋_GB2312"/>
                      <w:sz w:val="24"/>
                    </w:rPr>
                    <w:t>IRa≤0.9，外照射指数Ir≤1.2，耐污染性≥3级，</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不锈钢</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1.2mm厚304哑光不锈钢,节能环保产品，符合本项目工程量清单、施工图纸相关要求，符合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人造石</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18mm厚，防水、防渗、防霉，抗压≥160MPa，抗冲击≥15kg/㎡，弯曲强度≥40MPa，耐磨≤0.02g/cm2，抗菌率≥99%，耐温差-20℃~120℃，耐酸碱10%盐酸，耐污≥4级，甲醛符合GB18580-2017，E0级≤0.05mg/m³，VOC含量≤100g/L，放射性核素内照≤1.0外照≤1.3，符合</w:t>
                  </w:r>
                  <w:r>
                    <w:rPr>
                      <w:rFonts w:ascii="仿宋_GB2312" w:hAnsi="仿宋_GB2312" w:cs="仿宋_GB2312" w:eastAsia="仿宋_GB2312"/>
                      <w:sz w:val="24"/>
                    </w:rPr>
                    <w:t>国家相关标准、规范，</w:t>
                  </w:r>
                  <w:r>
                    <w:rPr>
                      <w:rFonts w:ascii="仿宋_GB2312" w:hAnsi="仿宋_GB2312" w:cs="仿宋_GB2312" w:eastAsia="仿宋_GB2312"/>
                      <w:sz w:val="24"/>
                    </w:rPr>
                    <w:t>满足设计需求。</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阻燃木工板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15mm厚，节能环保产品，符合本项目工程量清单、施工图纸相关要求，符合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石膏板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9/12mm厚节能环保产品，符合本项目工程量清单、施工图纸相关要求，符合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轻钢龙骨</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节能环保产品，符合本项目工程量清单、施工图纸相关要求，</w:t>
                  </w:r>
                  <w:r>
                    <w:rPr>
                      <w:rFonts w:ascii="仿宋_GB2312" w:hAnsi="仿宋_GB2312" w:cs="仿宋_GB2312" w:eastAsia="仿宋_GB2312"/>
                      <w:sz w:val="24"/>
                    </w:rPr>
                    <w:t>符合国家相关标准、规范。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铝扣板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1.2mm厚，节能环保产品，符合本项目工程量清单、施工图纸相关要求，符合国家相关标准、规范。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玻璃胶</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1.单位产品总挥发性有机物（TVOC）含量≤80g/kg</w:t>
                  </w:r>
                </w:p>
                <w:p>
                  <w:pPr>
                    <w:pStyle w:val="null3"/>
                    <w:jc w:val="both"/>
                  </w:pPr>
                  <w:r>
                    <w:rPr>
                      <w:rFonts w:ascii="仿宋_GB2312" w:hAnsi="仿宋_GB2312" w:cs="仿宋_GB2312" w:eastAsia="仿宋_GB2312"/>
                      <w:sz w:val="24"/>
                    </w:rPr>
                    <w:t>2.烷烃增塑剂（红外光谱）不得检出</w:t>
                  </w:r>
                </w:p>
                <w:p>
                  <w:pPr>
                    <w:pStyle w:val="null3"/>
                    <w:jc w:val="both"/>
                  </w:pPr>
                  <w:r>
                    <w:rPr>
                      <w:rFonts w:ascii="仿宋_GB2312" w:hAnsi="仿宋_GB2312" w:cs="仿宋_GB2312" w:eastAsia="仿宋_GB2312"/>
                      <w:sz w:val="24"/>
                    </w:rPr>
                    <w:t>3.密封胶分级达到20HM、25HM、20LM</w:t>
                  </w:r>
                </w:p>
                <w:p>
                  <w:pPr>
                    <w:pStyle w:val="null3"/>
                    <w:jc w:val="both"/>
                  </w:pPr>
                  <w:r>
                    <w:rPr>
                      <w:rFonts w:ascii="仿宋_GB2312" w:hAnsi="仿宋_GB2312" w:cs="仿宋_GB2312" w:eastAsia="仿宋_GB2312"/>
                      <w:sz w:val="24"/>
                    </w:rPr>
                    <w:t>4.符合《胶粘剂中有害物质限量》GB 18583-2008</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结构胶</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1.单位产品总挥发性有机物（TVOC）含量≤80g/kg</w:t>
                  </w:r>
                </w:p>
                <w:p>
                  <w:pPr>
                    <w:pStyle w:val="null3"/>
                    <w:jc w:val="both"/>
                  </w:pPr>
                  <w:r>
                    <w:rPr>
                      <w:rFonts w:ascii="仿宋_GB2312" w:hAnsi="仿宋_GB2312" w:cs="仿宋_GB2312" w:eastAsia="仿宋_GB2312"/>
                      <w:sz w:val="24"/>
                    </w:rPr>
                    <w:t>2.烷烃增塑剂（红外光谱）不得检出</w:t>
                  </w:r>
                </w:p>
                <w:p>
                  <w:pPr>
                    <w:pStyle w:val="null3"/>
                    <w:jc w:val="both"/>
                  </w:pPr>
                  <w:r>
                    <w:rPr>
                      <w:rFonts w:ascii="仿宋_GB2312" w:hAnsi="仿宋_GB2312" w:cs="仿宋_GB2312" w:eastAsia="仿宋_GB2312"/>
                      <w:sz w:val="24"/>
                    </w:rPr>
                    <w:t>3.23℃拉伸粘结强度标准值≥0.6MPa</w:t>
                  </w:r>
                </w:p>
                <w:p>
                  <w:pPr>
                    <w:pStyle w:val="null3"/>
                    <w:jc w:val="both"/>
                  </w:pPr>
                  <w:r>
                    <w:rPr>
                      <w:rFonts w:ascii="仿宋_GB2312" w:hAnsi="仿宋_GB2312" w:cs="仿宋_GB2312" w:eastAsia="仿宋_GB2312"/>
                      <w:sz w:val="24"/>
                    </w:rPr>
                    <w:t>4.粘结破坏面积≤5%</w:t>
                  </w:r>
                </w:p>
                <w:p>
                  <w:pPr>
                    <w:pStyle w:val="null3"/>
                    <w:jc w:val="both"/>
                  </w:pPr>
                  <w:r>
                    <w:rPr>
                      <w:rFonts w:ascii="仿宋_GB2312" w:hAnsi="仿宋_GB2312" w:cs="仿宋_GB2312" w:eastAsia="仿宋_GB2312"/>
                      <w:sz w:val="24"/>
                    </w:rPr>
                    <w:t>4.符合《胶粘剂中有害物质限量》GB 18583-2008</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铝合金</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100系列铝合金厚度1.4mm，</w:t>
                  </w:r>
                  <w:r>
                    <w:rPr>
                      <w:rFonts w:ascii="仿宋_GB2312" w:hAnsi="仿宋_GB2312" w:cs="仿宋_GB2312" w:eastAsia="仿宋_GB2312"/>
                      <w:sz w:val="24"/>
                    </w:rPr>
                    <w:t>符合国家相关标准、规范。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防盗门</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钢制乙级保温防盗门，</w:t>
                  </w:r>
                  <w:r>
                    <w:rPr>
                      <w:rFonts w:ascii="仿宋_GB2312" w:hAnsi="仿宋_GB2312" w:cs="仿宋_GB2312" w:eastAsia="仿宋_GB2312"/>
                      <w:sz w:val="24"/>
                    </w:rPr>
                    <w:t>门的传热系数</w:t>
                  </w:r>
                  <w:r>
                    <w:rPr>
                      <w:rFonts w:ascii="仿宋_GB2312" w:hAnsi="仿宋_GB2312" w:cs="仿宋_GB2312" w:eastAsia="仿宋_GB2312"/>
                      <w:sz w:val="24"/>
                    </w:rPr>
                    <w:t>K=2.1W/(m2.K)</w:t>
                  </w:r>
                  <w:r>
                    <w:rPr>
                      <w:rFonts w:ascii="仿宋_GB2312" w:hAnsi="仿宋_GB2312" w:cs="仿宋_GB2312" w:eastAsia="仿宋_GB2312"/>
                      <w:sz w:val="24"/>
                    </w:rPr>
                    <w:t>。门扇厚度不低于</w:t>
                  </w:r>
                  <w:r>
                    <w:rPr>
                      <w:rFonts w:ascii="仿宋_GB2312" w:hAnsi="仿宋_GB2312" w:cs="仿宋_GB2312" w:eastAsia="仿宋_GB2312"/>
                      <w:sz w:val="24"/>
                    </w:rPr>
                    <w:t>70，门扇钢板厚度不低于0.8mm，门框钢板厚度不低于1.5mm，C级锁芯，明装双活不锈钢把手。详见施工图纸，节能环保产品，符合本项目工程量清单、施工图纸相关要求，符合国家相关标准、规范。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塑胶地板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2/4mm厚同质透心氯乙烯卷材，节能环保产品，符合本项目工程量清单、施工图纸相关要求，符合国家相关标准、规范。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真石漆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理论涂布率：</w:t>
                  </w:r>
                  <w:r>
                    <w:rPr>
                      <w:rFonts w:ascii="仿宋_GB2312" w:hAnsi="仿宋_GB2312" w:cs="仿宋_GB2312" w:eastAsia="仿宋_GB2312"/>
                      <w:sz w:val="24"/>
                    </w:rPr>
                    <w:t>0.3-0.4平方米/千克，表干＜2小时，实干＜48小时，不含铅和汞，25摄氏度对湿度75%，符合本项目工程量清单、施工图纸相关要求和国家相关标准、规范。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铝方通</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1.2mm厚，节能环保产品，符合本项目工程量清单、施工图纸相关要求，符合国家相关标准、规范。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c>
                <w:tcPr>
                  <w:tcW w:type="dxa" w:w="2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电气</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照明灯具</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参数详见设计图纸、工程量清单，符合本项目工程量清单、施工图纸相关要求，符合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采用低烟低毒阻燃型线缆、矿物绝缘类不燃性电缆等，且导体材料采用铜芯</w:t>
                  </w:r>
                  <w:r>
                    <w:rPr>
                      <w:rFonts w:ascii="仿宋_GB2312" w:hAnsi="仿宋_GB2312" w:cs="仿宋_GB2312" w:eastAsia="仿宋_GB2312"/>
                      <w:sz w:val="24"/>
                    </w:rPr>
                    <w:t>,中国机械工业百强工厂产品，符合本项目工程量清单、施工图纸相关要求，符合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线管</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开关</w:t>
                  </w:r>
                  <w:r>
                    <w:rPr>
                      <w:rFonts w:ascii="仿宋_GB2312" w:hAnsi="仿宋_GB2312" w:cs="仿宋_GB2312" w:eastAsia="仿宋_GB2312"/>
                      <w:sz w:val="24"/>
                    </w:rPr>
                    <w:t>/插座面板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220V，64A/32A/16A/10A等，节能环保产品，符合本项目工程量清单、施工图纸相关要求，符合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空气开关</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16/32A等，带漏电保护。节能环保产品，符合本项目工程量清单、施工图纸相关要求，符合</w:t>
                  </w:r>
                  <w:r>
                    <w:rPr>
                      <w:rFonts w:ascii="仿宋_GB2312" w:hAnsi="仿宋_GB2312" w:cs="仿宋_GB2312" w:eastAsia="仿宋_GB2312"/>
                      <w:sz w:val="24"/>
                    </w:rPr>
                    <w:t>国家相关标准、规范。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配电箱</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1.符合本项目工程量清单、施工图纸相关要求和国家相关标准、规范；</w:t>
                  </w:r>
                </w:p>
                <w:p>
                  <w:pPr>
                    <w:pStyle w:val="null3"/>
                    <w:jc w:val="both"/>
                  </w:pPr>
                  <w:r>
                    <w:rPr>
                      <w:rFonts w:ascii="仿宋_GB2312" w:hAnsi="仿宋_GB2312" w:cs="仿宋_GB2312" w:eastAsia="仿宋_GB2312"/>
                      <w:sz w:val="24"/>
                    </w:rPr>
                    <w:t>2.箱体、元器件安装底板均采用大型钢厂冷轧钢板。配电箱箱体为喷塑，颜色为电脑灰色；安装底板应镀锌；</w:t>
                  </w:r>
                </w:p>
                <w:p>
                  <w:pPr>
                    <w:pStyle w:val="null3"/>
                    <w:jc w:val="both"/>
                  </w:pPr>
                  <w:r>
                    <w:rPr>
                      <w:rFonts w:ascii="仿宋_GB2312" w:hAnsi="仿宋_GB2312" w:cs="仿宋_GB2312" w:eastAsia="仿宋_GB2312"/>
                      <w:sz w:val="24"/>
                    </w:rPr>
                    <w:t>3.箱内布线要分色；一次线、铜排、辅料均采用合格产品；</w:t>
                  </w:r>
                </w:p>
                <w:p>
                  <w:pPr>
                    <w:pStyle w:val="null3"/>
                    <w:jc w:val="both"/>
                  </w:pPr>
                  <w:r>
                    <w:rPr>
                      <w:rFonts w:ascii="仿宋_GB2312" w:hAnsi="仿宋_GB2312" w:cs="仿宋_GB2312" w:eastAsia="仿宋_GB2312"/>
                      <w:sz w:val="24"/>
                    </w:rPr>
                    <w:t>4.施工图纸中箱体规格尺寸仅供参考，报价不再因箱体尺寸变化而变化。</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监控摄像机</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产品形态：固定半球型监控摄像机</w:t>
                  </w:r>
                </w:p>
                <w:p>
                  <w:pPr>
                    <w:pStyle w:val="null3"/>
                    <w:jc w:val="both"/>
                  </w:pPr>
                  <w:r>
                    <w:rPr>
                      <w:rFonts w:ascii="仿宋_GB2312" w:hAnsi="仿宋_GB2312" w:cs="仿宋_GB2312" w:eastAsia="仿宋_GB2312"/>
                      <w:sz w:val="24"/>
                    </w:rPr>
                    <w:t>≥400万像素，1/3"CMOS，分辨率≥2560×1440</w:t>
                  </w:r>
                </w:p>
                <w:p>
                  <w:pPr>
                    <w:pStyle w:val="null3"/>
                    <w:jc w:val="both"/>
                  </w:pPr>
                  <w:r>
                    <w:rPr>
                      <w:rFonts w:ascii="仿宋_GB2312" w:hAnsi="仿宋_GB2312" w:cs="仿宋_GB2312" w:eastAsia="仿宋_GB2312"/>
                      <w:sz w:val="24"/>
                    </w:rPr>
                    <w:t>镜头：固定焦距，</w:t>
                  </w:r>
                  <w:r>
                    <w:rPr>
                      <w:rFonts w:ascii="仿宋_GB2312" w:hAnsi="仿宋_GB2312" w:cs="仿宋_GB2312" w:eastAsia="仿宋_GB2312"/>
                      <w:sz w:val="24"/>
                    </w:rPr>
                    <w:t>2.8mm（水平视场角≥96.5°）</w:t>
                  </w:r>
                </w:p>
                <w:p>
                  <w:pPr>
                    <w:pStyle w:val="null3"/>
                    <w:jc w:val="both"/>
                  </w:pPr>
                  <w:r>
                    <w:rPr>
                      <w:rFonts w:ascii="仿宋_GB2312" w:hAnsi="仿宋_GB2312" w:cs="仿宋_GB2312" w:eastAsia="仿宋_GB2312"/>
                      <w:sz w:val="24"/>
                    </w:rPr>
                    <w:t>全彩成像，最低照度</w:t>
                  </w:r>
                  <w:r>
                    <w:rPr>
                      <w:rFonts w:ascii="仿宋_GB2312" w:hAnsi="仿宋_GB2312" w:cs="仿宋_GB2312" w:eastAsia="仿宋_GB2312"/>
                      <w:sz w:val="24"/>
                    </w:rPr>
                    <w:t>≤0.001Lux（彩色）</w:t>
                  </w:r>
                </w:p>
                <w:p>
                  <w:pPr>
                    <w:pStyle w:val="null3"/>
                    <w:jc w:val="both"/>
                  </w:pPr>
                  <w:r>
                    <w:rPr>
                      <w:rFonts w:ascii="仿宋_GB2312" w:hAnsi="仿宋_GB2312" w:cs="仿宋_GB2312" w:eastAsia="仿宋_GB2312"/>
                      <w:sz w:val="24"/>
                    </w:rPr>
                    <w:t>≥120dB WDR，支持 3D 降噪、强光抑制</w:t>
                  </w:r>
                </w:p>
                <w:p>
                  <w:pPr>
                    <w:pStyle w:val="null3"/>
                    <w:jc w:val="both"/>
                  </w:pPr>
                  <w:r>
                    <w:rPr>
                      <w:rFonts w:ascii="仿宋_GB2312" w:hAnsi="仿宋_GB2312" w:cs="仿宋_GB2312" w:eastAsia="仿宋_GB2312"/>
                      <w:sz w:val="24"/>
                    </w:rPr>
                    <w:t>双补光：白光</w:t>
                  </w:r>
                  <w:r>
                    <w:rPr>
                      <w:rFonts w:ascii="仿宋_GB2312" w:hAnsi="仿宋_GB2312" w:cs="仿宋_GB2312" w:eastAsia="仿宋_GB2312"/>
                      <w:sz w:val="24"/>
                    </w:rPr>
                    <w:t>+ 红外，有效距离≥30m</w:t>
                  </w:r>
                </w:p>
                <w:p>
                  <w:pPr>
                    <w:pStyle w:val="null3"/>
                    <w:jc w:val="both"/>
                  </w:pPr>
                  <w:r>
                    <w:rPr>
                      <w:rFonts w:ascii="仿宋_GB2312" w:hAnsi="仿宋_GB2312" w:cs="仿宋_GB2312" w:eastAsia="仿宋_GB2312"/>
                      <w:sz w:val="24"/>
                    </w:rPr>
                    <w:t>编码：</w:t>
                  </w:r>
                  <w:r>
                    <w:rPr>
                      <w:rFonts w:ascii="仿宋_GB2312" w:hAnsi="仿宋_GB2312" w:cs="仿宋_GB2312" w:eastAsia="仿宋_GB2312"/>
                      <w:sz w:val="24"/>
                    </w:rPr>
                    <w:t>H.265+，支持智能编码，节省带宽</w:t>
                  </w:r>
                </w:p>
                <w:p>
                  <w:pPr>
                    <w:pStyle w:val="null3"/>
                    <w:jc w:val="both"/>
                  </w:pPr>
                  <w:r>
                    <w:rPr>
                      <w:rFonts w:ascii="仿宋_GB2312" w:hAnsi="仿宋_GB2312" w:cs="仿宋_GB2312" w:eastAsia="仿宋_GB2312"/>
                      <w:sz w:val="24"/>
                    </w:rPr>
                    <w:t>智能侦测：人形</w:t>
                  </w:r>
                  <w:r>
                    <w:rPr>
                      <w:rFonts w:ascii="仿宋_GB2312" w:hAnsi="仿宋_GB2312" w:cs="仿宋_GB2312" w:eastAsia="仿宋_GB2312"/>
                      <w:sz w:val="24"/>
                    </w:rPr>
                    <w:t>/ 车辆检测，支持移动 / 遮挡报警</w:t>
                  </w:r>
                </w:p>
                <w:p>
                  <w:pPr>
                    <w:pStyle w:val="null3"/>
                    <w:jc w:val="both"/>
                  </w:pPr>
                  <w:r>
                    <w:rPr>
                      <w:rFonts w:ascii="仿宋_GB2312" w:hAnsi="仿宋_GB2312" w:cs="仿宋_GB2312" w:eastAsia="仿宋_GB2312"/>
                      <w:sz w:val="24"/>
                    </w:rPr>
                    <w:t>接口：</w:t>
                  </w:r>
                  <w:r>
                    <w:rPr>
                      <w:rFonts w:ascii="仿宋_GB2312" w:hAnsi="仿宋_GB2312" w:cs="仿宋_GB2312" w:eastAsia="仿宋_GB2312"/>
                      <w:sz w:val="24"/>
                    </w:rPr>
                    <w:t>10/100M 网口，支持 PoE供电；支持 Micro SD 卡≥128GB</w:t>
                  </w:r>
                </w:p>
                <w:p>
                  <w:pPr>
                    <w:pStyle w:val="null3"/>
                    <w:jc w:val="both"/>
                  </w:pPr>
                  <w:r>
                    <w:rPr>
                      <w:rFonts w:ascii="仿宋_GB2312" w:hAnsi="仿宋_GB2312" w:cs="仿宋_GB2312" w:eastAsia="仿宋_GB2312"/>
                      <w:sz w:val="24"/>
                    </w:rPr>
                    <w:t>防护：</w:t>
                  </w:r>
                  <w:r>
                    <w:rPr>
                      <w:rFonts w:ascii="仿宋_GB2312" w:hAnsi="仿宋_GB2312" w:cs="仿宋_GB2312" w:eastAsia="仿宋_GB2312"/>
                      <w:sz w:val="24"/>
                    </w:rPr>
                    <w:t>≥IP67</w:t>
                  </w:r>
                </w:p>
                <w:p>
                  <w:pPr>
                    <w:pStyle w:val="null3"/>
                    <w:jc w:val="both"/>
                  </w:pPr>
                  <w:r>
                    <w:rPr>
                      <w:rFonts w:ascii="仿宋_GB2312" w:hAnsi="仿宋_GB2312" w:cs="仿宋_GB2312" w:eastAsia="仿宋_GB2312"/>
                      <w:sz w:val="24"/>
                    </w:rPr>
                    <w:t>协议：支持</w:t>
                  </w:r>
                  <w:r>
                    <w:rPr>
                      <w:rFonts w:ascii="仿宋_GB2312" w:hAnsi="仿宋_GB2312" w:cs="仿宋_GB2312" w:eastAsia="仿宋_GB2312"/>
                      <w:sz w:val="24"/>
                    </w:rPr>
                    <w:t>ONVIF等主流协议，兼容主流平台</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监视器</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分辨率：</w:t>
                  </w:r>
                  <w:r>
                    <w:rPr>
                      <w:rFonts w:ascii="仿宋_GB2312" w:hAnsi="仿宋_GB2312" w:cs="仿宋_GB2312" w:eastAsia="仿宋_GB2312"/>
                      <w:sz w:val="24"/>
                    </w:rPr>
                    <w:t>≥1920×1080；</w:t>
                  </w:r>
                </w:p>
                <w:p>
                  <w:pPr>
                    <w:pStyle w:val="null3"/>
                    <w:jc w:val="both"/>
                  </w:pPr>
                  <w:r>
                    <w:rPr>
                      <w:rFonts w:ascii="仿宋_GB2312" w:hAnsi="仿宋_GB2312" w:cs="仿宋_GB2312" w:eastAsia="仿宋_GB2312"/>
                      <w:sz w:val="24"/>
                    </w:rPr>
                    <w:t>亮度：</w:t>
                  </w:r>
                  <w:r>
                    <w:rPr>
                      <w:rFonts w:ascii="仿宋_GB2312" w:hAnsi="仿宋_GB2312" w:cs="仿宋_GB2312" w:eastAsia="仿宋_GB2312"/>
                      <w:sz w:val="24"/>
                    </w:rPr>
                    <w:t>≥300cd/m²；</w:t>
                  </w:r>
                </w:p>
                <w:p>
                  <w:pPr>
                    <w:pStyle w:val="null3"/>
                    <w:jc w:val="both"/>
                  </w:pPr>
                  <w:r>
                    <w:rPr>
                      <w:rFonts w:ascii="仿宋_GB2312" w:hAnsi="仿宋_GB2312" w:cs="仿宋_GB2312" w:eastAsia="仿宋_GB2312"/>
                      <w:sz w:val="24"/>
                    </w:rPr>
                    <w:t>对比度：</w:t>
                  </w:r>
                  <w:r>
                    <w:rPr>
                      <w:rFonts w:ascii="仿宋_GB2312" w:hAnsi="仿宋_GB2312" w:cs="仿宋_GB2312" w:eastAsia="仿宋_GB2312"/>
                      <w:sz w:val="24"/>
                    </w:rPr>
                    <w:t>≥3000:1；</w:t>
                  </w:r>
                </w:p>
                <w:p>
                  <w:pPr>
                    <w:pStyle w:val="null3"/>
                    <w:jc w:val="both"/>
                  </w:pPr>
                  <w:r>
                    <w:rPr>
                      <w:rFonts w:ascii="仿宋_GB2312" w:hAnsi="仿宋_GB2312" w:cs="仿宋_GB2312" w:eastAsia="仿宋_GB2312"/>
                      <w:sz w:val="24"/>
                    </w:rPr>
                    <w:t>视角：水平</w:t>
                  </w:r>
                  <w:r>
                    <w:rPr>
                      <w:rFonts w:ascii="仿宋_GB2312" w:hAnsi="仿宋_GB2312" w:cs="仿宋_GB2312" w:eastAsia="仿宋_GB2312"/>
                      <w:sz w:val="24"/>
                    </w:rPr>
                    <w:t>/ 垂直≥178°</w:t>
                  </w:r>
                </w:p>
                <w:p>
                  <w:pPr>
                    <w:pStyle w:val="null3"/>
                    <w:jc w:val="both"/>
                  </w:pPr>
                  <w:r>
                    <w:rPr>
                      <w:rFonts w:ascii="仿宋_GB2312" w:hAnsi="仿宋_GB2312" w:cs="仿宋_GB2312" w:eastAsia="仿宋_GB2312"/>
                      <w:sz w:val="24"/>
                    </w:rPr>
                    <w:t>色域：</w:t>
                  </w:r>
                  <w:r>
                    <w:rPr>
                      <w:rFonts w:ascii="仿宋_GB2312" w:hAnsi="仿宋_GB2312" w:cs="仿宋_GB2312" w:eastAsia="仿宋_GB2312"/>
                      <w:sz w:val="24"/>
                    </w:rPr>
                    <w:t>≥72% NTSC</w:t>
                  </w:r>
                </w:p>
                <w:p>
                  <w:pPr>
                    <w:pStyle w:val="null3"/>
                    <w:jc w:val="both"/>
                  </w:pPr>
                  <w:r>
                    <w:rPr>
                      <w:rFonts w:ascii="仿宋_GB2312" w:hAnsi="仿宋_GB2312" w:cs="仿宋_GB2312" w:eastAsia="仿宋_GB2312"/>
                      <w:sz w:val="24"/>
                    </w:rPr>
                    <w:t>工作模式：支持</w:t>
                  </w:r>
                  <w:r>
                    <w:rPr>
                      <w:rFonts w:ascii="仿宋_GB2312" w:hAnsi="仿宋_GB2312" w:cs="仿宋_GB2312" w:eastAsia="仿宋_GB2312"/>
                      <w:sz w:val="24"/>
                    </w:rPr>
                    <w:t>7×24 小时连续运行</w:t>
                  </w:r>
                </w:p>
                <w:p>
                  <w:pPr>
                    <w:pStyle w:val="null3"/>
                    <w:jc w:val="both"/>
                  </w:pPr>
                  <w:r>
                    <w:rPr>
                      <w:rFonts w:ascii="仿宋_GB2312" w:hAnsi="仿宋_GB2312" w:cs="仿宋_GB2312" w:eastAsia="仿宋_GB2312"/>
                      <w:sz w:val="24"/>
                    </w:rPr>
                    <w:t>外壳：金属（防磁</w:t>
                  </w:r>
                  <w:r>
                    <w:rPr>
                      <w:rFonts w:ascii="仿宋_GB2312" w:hAnsi="仿宋_GB2312" w:cs="仿宋_GB2312" w:eastAsia="仿宋_GB2312"/>
                      <w:sz w:val="24"/>
                    </w:rPr>
                    <w:t>/ 防静电），防辐射、防强电场干扰</w:t>
                  </w:r>
                </w:p>
                <w:p>
                  <w:pPr>
                    <w:pStyle w:val="null3"/>
                    <w:jc w:val="both"/>
                  </w:pPr>
                  <w:r>
                    <w:rPr>
                      <w:rFonts w:ascii="仿宋_GB2312" w:hAnsi="仿宋_GB2312" w:cs="仿宋_GB2312" w:eastAsia="仿宋_GB2312"/>
                      <w:sz w:val="24"/>
                    </w:rPr>
                    <w:t>图像增强：</w:t>
                  </w:r>
                  <w:r>
                    <w:rPr>
                      <w:rFonts w:ascii="仿宋_GB2312" w:hAnsi="仿宋_GB2312" w:cs="仿宋_GB2312" w:eastAsia="仿宋_GB2312"/>
                      <w:sz w:val="24"/>
                    </w:rPr>
                    <w:t>3D 降噪、动态对比度、色温可调</w:t>
                  </w:r>
                </w:p>
                <w:p>
                  <w:pPr>
                    <w:pStyle w:val="null3"/>
                    <w:jc w:val="both"/>
                  </w:pPr>
                  <w:r>
                    <w:rPr>
                      <w:rFonts w:ascii="仿宋_GB2312" w:hAnsi="仿宋_GB2312" w:cs="仿宋_GB2312" w:eastAsia="仿宋_GB2312"/>
                      <w:sz w:val="24"/>
                    </w:rPr>
                    <w:t>信号兼容：支持</w:t>
                  </w:r>
                  <w:r>
                    <w:rPr>
                      <w:rFonts w:ascii="仿宋_GB2312" w:hAnsi="仿宋_GB2312" w:cs="仿宋_GB2312" w:eastAsia="仿宋_GB2312"/>
                      <w:sz w:val="24"/>
                    </w:rPr>
                    <w:t>1080P@60Hz，兼容 NTSC/PAL</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成品</w:t>
                  </w:r>
                  <w:r>
                    <w:rPr>
                      <w:rFonts w:ascii="仿宋_GB2312" w:hAnsi="仿宋_GB2312" w:cs="仿宋_GB2312" w:eastAsia="仿宋_GB2312"/>
                      <w:sz w:val="24"/>
                    </w:rPr>
                    <w:t>LED字幕屏</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产品规格：户外单色</w:t>
                  </w:r>
                  <w:r>
                    <w:rPr>
                      <w:rFonts w:ascii="仿宋_GB2312" w:hAnsi="仿宋_GB2312" w:cs="仿宋_GB2312" w:eastAsia="仿宋_GB2312"/>
                      <w:sz w:val="24"/>
                    </w:rPr>
                    <w:t>LED 显示屏，显示尺寸≥500mm × 7190mm。</w:t>
                  </w:r>
                </w:p>
                <w:p>
                  <w:pPr>
                    <w:pStyle w:val="null3"/>
                    <w:jc w:val="both"/>
                  </w:pPr>
                  <w:r>
                    <w:rPr>
                      <w:rFonts w:ascii="仿宋_GB2312" w:hAnsi="仿宋_GB2312" w:cs="仿宋_GB2312" w:eastAsia="仿宋_GB2312"/>
                      <w:sz w:val="24"/>
                    </w:rPr>
                    <w:t>像素点距：</w:t>
                  </w:r>
                  <w:r>
                    <w:rPr>
                      <w:rFonts w:ascii="仿宋_GB2312" w:hAnsi="仿宋_GB2312" w:cs="仿宋_GB2312" w:eastAsia="仿宋_GB2312"/>
                      <w:sz w:val="24"/>
                    </w:rPr>
                    <w:t>≤P10（10mm）。</w:t>
                  </w:r>
                </w:p>
                <w:p>
                  <w:pPr>
                    <w:pStyle w:val="null3"/>
                    <w:jc w:val="both"/>
                  </w:pPr>
                  <w:r>
                    <w:rPr>
                      <w:rFonts w:ascii="仿宋_GB2312" w:hAnsi="仿宋_GB2312" w:cs="仿宋_GB2312" w:eastAsia="仿宋_GB2312"/>
                      <w:sz w:val="24"/>
                    </w:rPr>
                    <w:t>显示颜色：纯红色单色，亮度满足户外日间可视要求。</w:t>
                  </w:r>
                </w:p>
                <w:p>
                  <w:pPr>
                    <w:pStyle w:val="null3"/>
                    <w:jc w:val="both"/>
                  </w:pPr>
                  <w:r>
                    <w:rPr>
                      <w:rFonts w:ascii="仿宋_GB2312" w:hAnsi="仿宋_GB2312" w:cs="仿宋_GB2312" w:eastAsia="仿宋_GB2312"/>
                      <w:sz w:val="24"/>
                    </w:rPr>
                    <w:t>防护等级：整机</w:t>
                  </w:r>
                  <w:r>
                    <w:rPr>
                      <w:rFonts w:ascii="仿宋_GB2312" w:hAnsi="仿宋_GB2312" w:cs="仿宋_GB2312" w:eastAsia="仿宋_GB2312"/>
                      <w:sz w:val="24"/>
                    </w:rPr>
                    <w:t>IP65级防水、防尘，适应户外长期运行。</w:t>
                  </w:r>
                </w:p>
                <w:p>
                  <w:pPr>
                    <w:pStyle w:val="null3"/>
                    <w:jc w:val="both"/>
                  </w:pPr>
                  <w:r>
                    <w:rPr>
                      <w:rFonts w:ascii="仿宋_GB2312" w:hAnsi="仿宋_GB2312" w:cs="仿宋_GB2312" w:eastAsia="仿宋_GB2312"/>
                      <w:sz w:val="24"/>
                    </w:rPr>
                    <w:t>供电方式：</w:t>
                  </w:r>
                  <w:r>
                    <w:rPr>
                      <w:rFonts w:ascii="仿宋_GB2312" w:hAnsi="仿宋_GB2312" w:cs="仿宋_GB2312" w:eastAsia="仿宋_GB2312"/>
                      <w:sz w:val="24"/>
                    </w:rPr>
                    <w:t>AC220V市电直接供电，自带电源防护。</w:t>
                  </w:r>
                </w:p>
                <w:p>
                  <w:pPr>
                    <w:pStyle w:val="null3"/>
                    <w:jc w:val="both"/>
                  </w:pPr>
                  <w:r>
                    <w:rPr>
                      <w:rFonts w:ascii="仿宋_GB2312" w:hAnsi="仿宋_GB2312" w:cs="仿宋_GB2312" w:eastAsia="仿宋_GB2312"/>
                      <w:sz w:val="24"/>
                    </w:rPr>
                    <w:t>控制系统：支持</w:t>
                  </w:r>
                  <w:r>
                    <w:rPr>
                      <w:rFonts w:ascii="仿宋_GB2312" w:hAnsi="仿宋_GB2312" w:cs="仿宋_GB2312" w:eastAsia="仿宋_GB2312"/>
                      <w:sz w:val="24"/>
                    </w:rPr>
                    <w:t>U 盘更新节目 + 无线 WiFi双控制模式，支持手机 / 电脑无线发送内容。</w:t>
                  </w:r>
                </w:p>
                <w:p>
                  <w:pPr>
                    <w:pStyle w:val="null3"/>
                    <w:jc w:val="both"/>
                  </w:pPr>
                  <w:r>
                    <w:rPr>
                      <w:rFonts w:ascii="仿宋_GB2312" w:hAnsi="仿宋_GB2312" w:cs="仿宋_GB2312" w:eastAsia="仿宋_GB2312"/>
                      <w:sz w:val="24"/>
                    </w:rPr>
                    <w:t>结构外框：采用铝合金边框，坚固耐用、防锈、美观易安装。</w:t>
                  </w:r>
                </w:p>
                <w:p>
                  <w:pPr>
                    <w:pStyle w:val="null3"/>
                    <w:jc w:val="both"/>
                  </w:pPr>
                  <w:r>
                    <w:rPr>
                      <w:rFonts w:ascii="仿宋_GB2312" w:hAnsi="仿宋_GB2312" w:cs="仿宋_GB2312" w:eastAsia="仿宋_GB2312"/>
                      <w:sz w:val="24"/>
                    </w:rPr>
                    <w:t>工作环境：户外耐高低温、防雨、防风、防紫外线。</w:t>
                  </w:r>
                </w:p>
                <w:p>
                  <w:pPr>
                    <w:pStyle w:val="null3"/>
                    <w:jc w:val="both"/>
                  </w:pPr>
                  <w:r>
                    <w:rPr>
                      <w:rFonts w:ascii="仿宋_GB2312" w:hAnsi="仿宋_GB2312" w:cs="仿宋_GB2312" w:eastAsia="仿宋_GB2312"/>
                      <w:sz w:val="24"/>
                    </w:rPr>
                    <w:t>功能要求：支持文字滚动、定时开关、亮度调节、节目存储、脱机运行。</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c>
                <w:tcPr>
                  <w:tcW w:type="dxa" w:w="28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HDMI线</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w:t>
                  </w:r>
                  <w:r>
                    <w:rPr>
                      <w:rFonts w:ascii="仿宋_GB2312" w:hAnsi="仿宋_GB2312" w:cs="仿宋_GB2312" w:eastAsia="仿宋_GB2312"/>
                      <w:sz w:val="24"/>
                    </w:rPr>
                    <w:t>HDMI 2.0 及以上版本，带宽≥18Gbps</w:t>
                  </w:r>
                </w:p>
                <w:p>
                  <w:pPr>
                    <w:pStyle w:val="null3"/>
                    <w:jc w:val="both"/>
                  </w:pPr>
                  <w:r>
                    <w:rPr>
                      <w:rFonts w:ascii="仿宋_GB2312" w:hAnsi="仿宋_GB2312" w:cs="仿宋_GB2312" w:eastAsia="仿宋_GB2312"/>
                      <w:sz w:val="24"/>
                    </w:rPr>
                    <w:t>支持</w:t>
                  </w:r>
                  <w:r>
                    <w:rPr>
                      <w:rFonts w:ascii="仿宋_GB2312" w:hAnsi="仿宋_GB2312" w:cs="仿宋_GB2312" w:eastAsia="仿宋_GB2312"/>
                      <w:sz w:val="24"/>
                    </w:rPr>
                    <w:t>4K@60Hz、向下兼容 1080P/720P</w:t>
                  </w:r>
                </w:p>
                <w:p>
                  <w:pPr>
                    <w:pStyle w:val="null3"/>
                    <w:jc w:val="both"/>
                  </w:pPr>
                  <w:r>
                    <w:rPr>
                      <w:rFonts w:ascii="仿宋_GB2312" w:hAnsi="仿宋_GB2312" w:cs="仿宋_GB2312" w:eastAsia="仿宋_GB2312"/>
                      <w:sz w:val="24"/>
                    </w:rPr>
                    <w:t>导体采用高纯度无氧铜，线规不低于</w:t>
                  </w:r>
                  <w:r>
                    <w:rPr>
                      <w:rFonts w:ascii="仿宋_GB2312" w:hAnsi="仿宋_GB2312" w:cs="仿宋_GB2312" w:eastAsia="仿宋_GB2312"/>
                      <w:sz w:val="24"/>
                    </w:rPr>
                    <w:t>24AWG；</w:t>
                  </w:r>
                </w:p>
                <w:p>
                  <w:pPr>
                    <w:pStyle w:val="null3"/>
                    <w:jc w:val="both"/>
                  </w:pPr>
                  <w:r>
                    <w:rPr>
                      <w:rFonts w:ascii="仿宋_GB2312" w:hAnsi="仿宋_GB2312" w:cs="仿宋_GB2312" w:eastAsia="仿宋_GB2312"/>
                      <w:sz w:val="24"/>
                    </w:rPr>
                    <w:t>双层屏蔽结构（铝箔</w:t>
                  </w:r>
                  <w:r>
                    <w:rPr>
                      <w:rFonts w:ascii="仿宋_GB2312" w:hAnsi="仿宋_GB2312" w:cs="仿宋_GB2312" w:eastAsia="仿宋_GB2312"/>
                      <w:sz w:val="24"/>
                    </w:rPr>
                    <w:t>+ 编织网），抗电磁干扰；</w:t>
                  </w:r>
                </w:p>
                <w:p>
                  <w:pPr>
                    <w:pStyle w:val="null3"/>
                    <w:jc w:val="both"/>
                  </w:pPr>
                  <w:r>
                    <w:rPr>
                      <w:rFonts w:ascii="仿宋_GB2312" w:hAnsi="仿宋_GB2312" w:cs="仿宋_GB2312" w:eastAsia="仿宋_GB2312"/>
                      <w:sz w:val="24"/>
                    </w:rPr>
                    <w:t>接口</w:t>
                  </w:r>
                  <w:r>
                    <w:rPr>
                      <w:rFonts w:ascii="仿宋_GB2312" w:hAnsi="仿宋_GB2312" w:cs="仿宋_GB2312" w:eastAsia="仿宋_GB2312"/>
                      <w:sz w:val="24"/>
                    </w:rPr>
                    <w:t>24K 镀金处理，抗氧化、耐插拔；</w:t>
                  </w:r>
                </w:p>
                <w:p>
                  <w:pPr>
                    <w:pStyle w:val="null3"/>
                    <w:jc w:val="both"/>
                  </w:pPr>
                  <w:r>
                    <w:rPr>
                      <w:rFonts w:ascii="仿宋_GB2312" w:hAnsi="仿宋_GB2312" w:cs="仿宋_GB2312" w:eastAsia="仿宋_GB2312"/>
                      <w:sz w:val="24"/>
                    </w:rPr>
                    <w:t>支持</w:t>
                  </w:r>
                  <w:r>
                    <w:rPr>
                      <w:rFonts w:ascii="仿宋_GB2312" w:hAnsi="仿宋_GB2312" w:cs="仿宋_GB2312" w:eastAsia="仿宋_GB2312"/>
                      <w:sz w:val="24"/>
                    </w:rPr>
                    <w:t>HDCP2.2、ARC 音频回传、CEC 控制协议；</w:t>
                  </w:r>
                </w:p>
                <w:p>
                  <w:pPr>
                    <w:pStyle w:val="null3"/>
                    <w:jc w:val="both"/>
                  </w:pPr>
                  <w:r>
                    <w:rPr>
                      <w:rFonts w:ascii="仿宋_GB2312" w:hAnsi="仿宋_GB2312" w:cs="仿宋_GB2312" w:eastAsia="仿宋_GB2312"/>
                      <w:sz w:val="24"/>
                    </w:rPr>
                    <w:t>环保阻燃外被，符合</w:t>
                  </w:r>
                  <w:r>
                    <w:rPr>
                      <w:rFonts w:ascii="仿宋_GB2312" w:hAnsi="仿宋_GB2312" w:cs="仿宋_GB2312" w:eastAsia="仿宋_GB2312"/>
                      <w:sz w:val="24"/>
                    </w:rPr>
                    <w:t>ROHS 标准，适合机房弱电工程布线。</w:t>
                  </w:r>
                </w:p>
              </w:tc>
            </w:tr>
          </w:tbl>
          <w:p>
            <w:pPr>
              <w:pStyle w:val="null3"/>
              <w:ind w:firstLine="482"/>
              <w:jc w:val="both"/>
            </w:pPr>
            <w:r>
              <w:rPr>
                <w:rFonts w:ascii="仿宋_GB2312" w:hAnsi="仿宋_GB2312" w:cs="仿宋_GB2312" w:eastAsia="仿宋_GB2312"/>
                <w:sz w:val="24"/>
                <w:b/>
              </w:rPr>
              <w:t>说明：供应商拟投入使用的材料、设备</w:t>
            </w:r>
            <w:r>
              <w:rPr>
                <w:rFonts w:ascii="仿宋_GB2312" w:hAnsi="仿宋_GB2312" w:cs="仿宋_GB2312" w:eastAsia="仿宋_GB2312"/>
                <w:sz w:val="24"/>
                <w:b/>
              </w:rPr>
              <w:t>应满足上述参数标准要求</w:t>
            </w:r>
            <w:r>
              <w:rPr>
                <w:rFonts w:ascii="仿宋_GB2312" w:hAnsi="仿宋_GB2312" w:cs="仿宋_GB2312" w:eastAsia="仿宋_GB2312"/>
                <w:sz w:val="24"/>
                <w:b/>
              </w:rPr>
              <w:t>。在施工过程中成交供应商若提出性能、质量、实力等同于或高于投标时的选定的产品或厂家时，必须经采购人书面同意，但由此增加的费用由供应商自行承担。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60</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，具体以项目实际需求及使用单位要求为准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w:t>
            </w:r>
            <w:r>
              <w:rPr>
                <w:rFonts w:ascii="仿宋_GB2312" w:hAnsi="仿宋_GB2312" w:cs="仿宋_GB2312" w:eastAsia="仿宋_GB2312"/>
                <w:sz w:val="24"/>
              </w:rPr>
              <w:t>西安建筑科技大学雁塔校区建大附中</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：工程验收标准执行国家现有的有关规范及标准，本工程质量要求为合格。</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签订合同完毕，供应商提供由工商银行、农业银行、中国银行、建设银行、交通银行其中一家出具的不可撤销、见索即付独立保函，且保函文本须载明</w:t>
            </w:r>
            <w:r>
              <w:rPr>
                <w:rFonts w:ascii="仿宋_GB2312" w:hAnsi="仿宋_GB2312" w:cs="仿宋_GB2312" w:eastAsia="仿宋_GB2312"/>
                <w:sz w:val="24"/>
              </w:rPr>
              <w:t>“开证行仅凭受益人单方签署的索赔声明付款”，甲方支付合同总价的 40%作为预付款，否则，甲方不予支付预付款。</w:t>
            </w:r>
          </w:p>
          <w:p>
            <w:pPr>
              <w:pStyle w:val="null3"/>
              <w:ind w:firstLine="480"/>
              <w:jc w:val="both"/>
            </w:pPr>
            <w:r>
              <w:rPr>
                <w:rFonts w:ascii="仿宋_GB2312" w:hAnsi="仿宋_GB2312" w:cs="仿宋_GB2312" w:eastAsia="仿宋_GB2312"/>
                <w:sz w:val="24"/>
              </w:rPr>
              <w:t>□签订合同完毕，供应商无法提供预付款保函，施工满一个月，且经核算完成80%改造工程内容后，支付合同额60%进度款。</w:t>
            </w:r>
          </w:p>
          <w:p>
            <w:pPr>
              <w:pStyle w:val="null3"/>
              <w:ind w:firstLine="480"/>
              <w:jc w:val="both"/>
            </w:pPr>
            <w:r>
              <w:rPr>
                <w:rFonts w:ascii="仿宋_GB2312" w:hAnsi="仿宋_GB2312" w:cs="仿宋_GB2312" w:eastAsia="仿宋_GB2312"/>
                <w:sz w:val="24"/>
              </w:rPr>
              <w:t>工程竣工验收合格后经审计部门或其委托有工程造价咨询资质的机构审定结算后，缴纳施工水电费后，支付至审定结算价的</w:t>
            </w:r>
            <w:r>
              <w:rPr>
                <w:rFonts w:ascii="仿宋_GB2312" w:hAnsi="仿宋_GB2312" w:cs="仿宋_GB2312" w:eastAsia="仿宋_GB2312"/>
                <w:sz w:val="24"/>
              </w:rPr>
              <w:t>100%；但在国家规定的保修期限内，保修责任仍由承包人继续承担。</w:t>
            </w:r>
          </w:p>
          <w:p>
            <w:pPr>
              <w:pStyle w:val="null3"/>
              <w:ind w:firstLine="480"/>
              <w:jc w:val="both"/>
            </w:pPr>
            <w:r>
              <w:rPr>
                <w:rFonts w:ascii="仿宋_GB2312" w:hAnsi="仿宋_GB2312" w:cs="仿宋_GB2312" w:eastAsia="仿宋_GB2312"/>
                <w:sz w:val="24"/>
              </w:rPr>
              <w:t>本工程的工程量据实结算，若乙方报送的原始结算价超出甲方审定结算价的</w:t>
            </w:r>
            <w:r>
              <w:rPr>
                <w:rFonts w:ascii="仿宋_GB2312" w:hAnsi="仿宋_GB2312" w:cs="仿宋_GB2312" w:eastAsia="仿宋_GB2312"/>
                <w:sz w:val="24"/>
              </w:rPr>
              <w:t>3％，则乙方承担全部审计费，在结算付款时一次性扣除。</w:t>
            </w:r>
          </w:p>
          <w:p>
            <w:pPr>
              <w:pStyle w:val="null3"/>
              <w:ind w:firstLine="482"/>
              <w:jc w:val="both"/>
            </w:pPr>
            <w:r>
              <w:rPr>
                <w:rFonts w:ascii="仿宋_GB2312" w:hAnsi="仿宋_GB2312" w:cs="仿宋_GB2312" w:eastAsia="仿宋_GB2312"/>
                <w:sz w:val="24"/>
                <w:b/>
              </w:rPr>
              <w:t>（五）质量保证期</w:t>
            </w:r>
            <w:r>
              <w:rPr>
                <w:rFonts w:ascii="仿宋_GB2312" w:hAnsi="仿宋_GB2312" w:cs="仿宋_GB2312" w:eastAsia="仿宋_GB2312"/>
                <w:sz w:val="24"/>
                <w:b/>
              </w:rPr>
              <w:t>及保修要求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质量保证期</w:t>
            </w:r>
            <w:r>
              <w:rPr>
                <w:rFonts w:ascii="仿宋_GB2312" w:hAnsi="仿宋_GB2312" w:cs="仿宋_GB2312" w:eastAsia="仿宋_GB2312"/>
                <w:sz w:val="24"/>
              </w:rPr>
              <w:t>：</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）保修要求：属于保修范围和内容的项目，成交供应商应在接到维修通知后，</w:t>
            </w:r>
            <w:r>
              <w:rPr>
                <w:rFonts w:ascii="仿宋_GB2312" w:hAnsi="仿宋_GB2312" w:cs="仿宋_GB2312" w:eastAsia="仿宋_GB2312"/>
                <w:sz w:val="24"/>
              </w:rPr>
              <w:t>1天内派人维修。发生紧急抢修事故（如上水管跑水、爆裂，供电设施漏、断电等），成交供应商应在接到事故通知后2小时内到达事故现场并于</w:t>
            </w:r>
            <w:r>
              <w:rPr>
                <w:rFonts w:ascii="仿宋_GB2312" w:hAnsi="仿宋_GB2312" w:cs="仿宋_GB2312" w:eastAsia="仿宋_GB2312"/>
                <w:sz w:val="24"/>
              </w:rPr>
              <w:t>4</w:t>
            </w:r>
            <w:r>
              <w:rPr>
                <w:rFonts w:ascii="仿宋_GB2312" w:hAnsi="仿宋_GB2312" w:cs="仿宋_GB2312" w:eastAsia="仿宋_GB2312"/>
                <w:sz w:val="24"/>
              </w:rPr>
              <w:t>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质量标准：工程验收标准执行国家现有的有关规范及标准，本工程质量要求为合格。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自行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3.本项目成交供应商须在领取中标（成交）通知书同一时间向采购代理机构提供响应文件（应与政府采购电子化交易平台上传的响应文件完全一致）正本1份、副本1份。 4.结算时，依据采购人审定的工程量，按实际发生量据实结算，工程价款结算时依据最终价款和一次报价的下浮比例执行。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供应商提供自2025年5月至今已缴纳的至少一个月纳税证明或完税证明，依法免税的单位应提供相关证明材料；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资质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已标价工程量清单 质量管理体系与保证措施.docx 供应商应提交的资格审查资料.docx 确保安全生产、文明施工的技术组织措施及环境保护措施.docx 节能环保、绿色建材.docx 中小企业声明函 对项目整体理解及施工方案.docx 企业业绩.docx 服务承诺.docx 技术服务合同条款及其他商务要求应答表 主要材料品质、价格表.docx 工程进度计划与保证措施.docx 响应文件封面 残疾人福利性单位声明函 法定代表人证明书及授权书.docx 报价函 标的清单 响应函 项目人员组成.docx 拟派项目经理社保缴纳证明.docx 拟派项目经理业绩.docx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已标价工程量清单扉页(仅指投标总价扉页)是否加盖有注册或登记在本单位的造价人员签字并盖执业印章或工程造价咨询企业(提供双方合作协议)的造价人员签字并盖执业印章；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拟派项目经理社保缴纳证明.docx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1.供应商针对本项目提供的主要材料品牌、价格表填写完整，无缺漏项的得4分。未提供或提供不全或拟投主要材料品牌不明确的本项不得分。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主要材料品质基本符合项目要求，材料品质与本次项目契合度较低，相关证明材料部分缺失或不够清晰的得3分；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详见附件：拟派项目经理社保缴纳证明.docx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