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版本号：SXZH-2026-07620260602001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公交车宣传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SXZH-2026-076</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公交车宣传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公交车宣传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公交车垃圾分类知识宣传。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采购包1（公交车宣传）：属于专门面向中小企业采购。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公交车垃圾分类知识宣传。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772,200.00</w:t>
      </w:r>
    </w:p>
    <w:p>
      <w:pPr>
        <w:pStyle w:val="null3"/>
      </w:pPr>
      <w:r>
        <w:rPr>
          <w:rFonts w:ascii="仿宋_GB2312" w:hAnsi="仿宋_GB2312" w:cs="仿宋_GB2312" w:eastAsia="仿宋_GB2312"/>
        </w:rPr>
        <w:t>采购包最高限价（元）: 772,200.00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公交车宣传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772,200.00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标的名称：公交车宣传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在全市公交线路内选取不少于</w:t>
            </w:r>
            <w:r>
              <w:rPr>
                <w:rFonts w:ascii="仿宋_GB2312" w:hAnsi="仿宋_GB2312" w:cs="仿宋_GB2312" w:eastAsia="仿宋_GB2312"/>
                <w:sz w:val="20"/>
              </w:rPr>
              <w:t>500</w:t>
            </w:r>
            <w:r>
              <w:rPr>
                <w:rFonts w:ascii="仿宋_GB2312" w:hAnsi="仿宋_GB2312" w:cs="仿宋_GB2312" w:eastAsia="仿宋_GB2312"/>
                <w:sz w:val="20"/>
              </w:rPr>
              <w:t>辆公交车，通过车厢内车载多媒体屏幕，循环播放垃圾分类宣传视频短片、海报，海报单次滚动时长不低于</w:t>
            </w:r>
            <w:r>
              <w:rPr>
                <w:rFonts w:ascii="仿宋_GB2312" w:hAnsi="仿宋_GB2312" w:cs="仿宋_GB2312" w:eastAsia="仿宋_GB2312"/>
                <w:sz w:val="20"/>
              </w:rPr>
              <w:t>10</w:t>
            </w:r>
            <w:r>
              <w:rPr>
                <w:rFonts w:ascii="仿宋_GB2312" w:hAnsi="仿宋_GB2312" w:cs="仿宋_GB2312" w:eastAsia="仿宋_GB2312"/>
                <w:sz w:val="20"/>
              </w:rPr>
              <w:t>秒</w:t>
            </w:r>
            <w:r>
              <w:rPr>
                <w:rFonts w:ascii="仿宋_GB2312" w:hAnsi="仿宋_GB2312" w:cs="仿宋_GB2312" w:eastAsia="仿宋_GB2312"/>
                <w:sz w:val="20"/>
              </w:rPr>
              <w:t>,</w:t>
            </w:r>
            <w:r>
              <w:rPr>
                <w:rFonts w:ascii="仿宋_GB2312" w:hAnsi="仿宋_GB2312" w:cs="仿宋_GB2312" w:eastAsia="仿宋_GB2312"/>
                <w:sz w:val="20"/>
              </w:rPr>
              <w:t>宣传视频每条时长以</w:t>
            </w:r>
            <w:r>
              <w:rPr>
                <w:rFonts w:ascii="仿宋_GB2312" w:hAnsi="仿宋_GB2312" w:cs="仿宋_GB2312" w:eastAsia="仿宋_GB2312"/>
                <w:sz w:val="20"/>
              </w:rPr>
              <w:t>1</w:t>
            </w:r>
            <w:r>
              <w:rPr>
                <w:rFonts w:ascii="仿宋_GB2312" w:hAnsi="仿宋_GB2312" w:cs="仿宋_GB2312" w:eastAsia="仿宋_GB2312"/>
                <w:sz w:val="20"/>
              </w:rPr>
              <w:t>分钟左右为宜，需在乘客乘车期间内高频次循环播放，有效投放周期</w:t>
            </w:r>
            <w:r>
              <w:rPr>
                <w:rFonts w:ascii="仿宋_GB2312" w:hAnsi="仿宋_GB2312" w:cs="仿宋_GB2312" w:eastAsia="仿宋_GB2312"/>
                <w:sz w:val="20"/>
              </w:rPr>
              <w:t>3</w:t>
            </w:r>
            <w:r>
              <w:rPr>
                <w:rFonts w:ascii="仿宋_GB2312" w:hAnsi="仿宋_GB2312" w:cs="仿宋_GB2312" w:eastAsia="仿宋_GB2312"/>
                <w:sz w:val="20"/>
              </w:rPr>
              <w:t>个月。</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选取不低于</w:t>
            </w:r>
            <w:r>
              <w:rPr>
                <w:rFonts w:ascii="仿宋_GB2312" w:hAnsi="仿宋_GB2312" w:cs="仿宋_GB2312" w:eastAsia="仿宋_GB2312"/>
                <w:sz w:val="20"/>
              </w:rPr>
              <w:t>15</w:t>
            </w:r>
            <w:r>
              <w:rPr>
                <w:rFonts w:ascii="仿宋_GB2312" w:hAnsi="仿宋_GB2312" w:cs="仿宋_GB2312" w:eastAsia="仿宋_GB2312"/>
                <w:sz w:val="20"/>
              </w:rPr>
              <w:t>辆公交车，穿越市中心、连接交通枢纽或经过大型社区等人流量密集的公交线路，进行车身两侧垃圾分类宣传广告涂装，广告设计需整体性强、视觉冲击力高，确保在移动状态下也能有效传递核心信息，有效投放周期</w:t>
            </w:r>
            <w:r>
              <w:rPr>
                <w:rFonts w:ascii="仿宋_GB2312" w:hAnsi="仿宋_GB2312" w:cs="仿宋_GB2312" w:eastAsia="仿宋_GB2312"/>
                <w:sz w:val="20"/>
              </w:rPr>
              <w:t>3</w:t>
            </w:r>
            <w:r>
              <w:rPr>
                <w:rFonts w:ascii="仿宋_GB2312" w:hAnsi="仿宋_GB2312" w:cs="仿宋_GB2312" w:eastAsia="仿宋_GB2312"/>
                <w:sz w:val="20"/>
              </w:rPr>
              <w:t>个月。</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熟悉垃圾分类行业业务知识，具有相近行业的工作经验。</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拥有专业团队与配套设备，具备视频全流程制作、车身广告设计与素材适配能力。</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熟悉公交运营及广告投放规范，可完成广告资源对接、安装调试、维护巡检全流程执行。</w:t>
            </w:r>
          </w:p>
          <w:p>
            <w:pPr>
              <w:pStyle w:val="null3"/>
            </w:pPr>
            <w:r>
              <w:rPr>
                <w:rFonts w:ascii="仿宋_GB2312" w:hAnsi="仿宋_GB2312" w:cs="仿宋_GB2312" w:eastAsia="仿宋_GB2312"/>
                <w:sz w:val="20"/>
              </w:rPr>
              <w:t>6.</w:t>
            </w:r>
            <w:r>
              <w:rPr>
                <w:rFonts w:ascii="仿宋_GB2312" w:hAnsi="仿宋_GB2312" w:cs="仿宋_GB2312" w:eastAsia="仿宋_GB2312"/>
                <w:sz w:val="20"/>
              </w:rPr>
              <w:t>项目验收前须提供完整的交付资料、监拍监播证明、项目执行结案报告等。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自合同签订之日起10日内完成项目所有内容设计制作，并提交成品内容供甲方审核，审核通过后7日内开始投放，项目应于2026年10月15日前执行完毕。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进度款，服务期限完成且无其他异议后，达到付款条件起5个工作日内，支付合同总金额的50.0%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项目分析针对项目背景、可行性与必要性分析、目标分析等全面、准确、合理，计(7-10]分；分析内容基本符合项目要求，较为合理，计(4-7]分，分析空洞、无实质内容，计[1-4]分。未提供方案不得分。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整体服务方案详细、合理，能够清晰的贴合工作的要求和特点，计(10-15]分；服务方案较为清晰，基本贴近工作要求和特点，计(5-10]分；方案空洞、无实质性内容，计[1-5]分。未提供方案不得分。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提供详细完整的短视频投放方案及公交车垃圾分类主题涂装设计方案，计(10-15]分；方案基本符合要求，计(5-10]分；方案内容简单或不全，计[1-5]分。未提供方案不得分。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拟投入本项目的设备情况</w:t>
            </w:r>
          </w:p>
        </w:tc>
        <w:tc>
          <w:tcPr>
            <w:tcW w:type="dxa" w:w="2492"/>
          </w:tcPr>
          <w:p>
            <w:pPr>
              <w:pStyle w:val="null3"/>
            </w:pPr>
            <w:r>
              <w:rPr>
                <w:rFonts w:ascii="仿宋_GB2312" w:hAnsi="仿宋_GB2312" w:cs="仿宋_GB2312" w:eastAsia="仿宋_GB2312"/>
              </w:rPr>
              <w:t>根据本项目采购需求提供拟投入设备情况（包括但不限于设备列表、设备照片、设备发票等相关证明材料）。 设备列表齐全、证明材料完整得（3-6分]；设备列表或证明材料不全得[1-3分]；未提供证明材料不得分。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针对本项目的应急预案</w:t>
            </w:r>
          </w:p>
        </w:tc>
        <w:tc>
          <w:tcPr>
            <w:tcW w:type="dxa" w:w="2492"/>
          </w:tcPr>
          <w:p>
            <w:pPr>
              <w:pStyle w:val="null3"/>
            </w:pPr>
            <w:r>
              <w:rPr>
                <w:rFonts w:ascii="仿宋_GB2312" w:hAnsi="仿宋_GB2312" w:cs="仿宋_GB2312" w:eastAsia="仿宋_GB2312"/>
              </w:rPr>
              <w:t>提供本项目的重点难点、不可预见性的突发状况提供具有针对性的应急预案，能够保障项目顺利实施，预案详细全面，针对性强计(4-8分]；预案内容较薄弱、无实质性内容，计[1-4分]。未提供方案不得分。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针对本项目的管理与保障措施全面、可行，能够保障项目顺利实施，计(4-8分]；管理与保障措施较薄弱、无实质性内容，计[1-4分]。未提供方案不得分。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根据本项目采购需求提供拟投入人员配备（包括但不限于人员分工、岗位配备及职责、技术能力等）。 人员分工明确得当、岗位配备及职责阐述全面详细，且技术能力强的计（8-12分]；人员分工较明确、岗位配备及职责阐述较详细，技术能力较强的计（4-8分]；人员分工不明确、岗位配备及职责阐述不全面，技术能力弱的计[1-4分]；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针对本项目具有详细科学的合理化建议。 合理化建议详细、针对性强得（3-6分]； 合理化建议内容简单不全得[1-3分]；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日至今，以合同签订时间为准）的类似项目业绩，每提供一个得2分,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