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版本号：ZCSP-渭南市-2026-0010720260511001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陕西省第十八届运动会2026年证件制作及验证服务项目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ZCSP-渭南市-2026-00107</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语芯建设集团有限公司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语芯建设集团有限公司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陕西省第十八届运动会2026年证件制作及验证服务项目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ZCSP-渭南市-2026-00107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陕西省第十八届运动会2026年证件制作及验证服务项目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负责陕西省第十八届运动会比赛期间证件的查验系统搭建及设备租赁、证件制作等相关工作，包括但不限于软件系统服务及相关定制；人员通行证件、车辆通行证件制作；提供制证、验证所需的设备使用服务;验证现场建设及完成比赛所需的材料采购;证件查验设备租赁、系统硬件及相关配件租赁、制证人员服务;驻点技术支持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采购包1（陕西省第十八届运动会2026年证件制作及验证服务项目）：属于专门面向中小企业采购。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授权代表身份证明：投标人应授权合法的人员参加投标全过程，其中法定代表人直接参加投标的，须出具法定代表人身份证明及身份证复印件，并与营业执照上信息一致；法定代表人授权代表参加投标的，须出具法定代表人授权书（附法定代表人、被授权人身份证复印件）及被授权人在本单位近3个月内任意一个月缴纳的养老保险证明。投标人需在项目电子化交易系统中按要求上传相应证明文件并进行电子签章。</w:t>
      </w:r>
    </w:p>
    <w:p>
      <w:pPr>
        <w:pStyle w:val="null3"/>
      </w:pPr>
      <w:r>
        <w:rPr>
          <w:rFonts w:ascii="仿宋_GB2312" w:hAnsi="仿宋_GB2312" w:cs="仿宋_GB2312" w:eastAsia="仿宋_GB2312"/>
        </w:rPr>
        <w:t>2、信用记录：投标人不得在“信用中国”网站(http://www.creditchina.gov.cn)被列入失信被执行人、重大税收违法失信主体；不得在“中国政府采购网” (http://www.ccgp.gov.cn) 被列入政府采购严重违法失信行为记录名单。</w:t>
      </w:r>
    </w:p>
    <w:p>
      <w:pPr>
        <w:pStyle w:val="null3"/>
      </w:pPr>
      <w:r>
        <w:rPr>
          <w:rFonts w:ascii="仿宋_GB2312" w:hAnsi="仿宋_GB2312" w:cs="仿宋_GB2312" w:eastAsia="仿宋_GB2312"/>
        </w:rPr>
        <w:t>3、非联合体投标：投标人须提供《非联合体投标声明函》； 投标人需在项目电子化交易系统中按要求上传相应证明文件并进行电子签章。</w:t>
      </w:r>
    </w:p>
    <w:p>
      <w:pPr>
        <w:pStyle w:val="null3"/>
      </w:pPr>
      <w:r>
        <w:rPr>
          <w:rFonts w:ascii="仿宋_GB2312" w:hAnsi="仿宋_GB2312" w:cs="仿宋_GB2312" w:eastAsia="仿宋_GB2312"/>
        </w:rPr>
        <w:t>4、投标人不得存在下列情形之一：①单位负责人为同一人或者存在控股、管理关系的不同单位，不得参加同一合同项下的政府采购活动； ②为本项目提供整体设计、规范编制或者项目管理、监理、检测等服务的供应商，不得再参加本项目的采购活动。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渭南市渭清路体育中心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18909130676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语芯建设集团有限公司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陕西省渭南市临渭区陕西省渭南市高新技术产业开发区万达广场4号写字楼301-1室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行增凯、肖蓓蓓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18191811889、15592262110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开户名称：语芯建设集团有限公司</w:t>
            </w:r>
          </w:p>
          <w:p>
            <w:pPr>
              <w:pStyle w:val="null3"/>
            </w:pPr>
            <w:r>
              <w:rPr>
                <w:rFonts w:ascii="仿宋_GB2312" w:hAnsi="仿宋_GB2312" w:cs="仿宋_GB2312" w:eastAsia="仿宋_GB2312"/>
              </w:rPr>
              <w:t>开户银行：中国建设银行渭南电信支行</w:t>
            </w:r>
          </w:p>
          <w:p>
            <w:pPr>
              <w:pStyle w:val="null3"/>
            </w:pPr>
            <w:r>
              <w:rPr>
                <w:rFonts w:ascii="仿宋_GB2312" w:hAnsi="仿宋_GB2312" w:cs="仿宋_GB2312" w:eastAsia="仿宋_GB2312"/>
              </w:rPr>
              <w:t>银行账号：61050164280000000703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文)、国家发改委办公厅关于《招标代理服务收费有关问题》的通知(发改办价格[2003]857号文)、发改价格[2011】534号文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语芯建设集团有限公司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语芯建设集团有限公司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语芯建设集团有限公司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本项目验收严格按照采购文件、投标文件、合同约定、国家及行业现行标准、采购人使用要求进行，以整体功能完好、质量合格、运行稳定、资料齐全、服务达标为验收合格依据。</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语芯建设集团有限公司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语芯建设集团有限公司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语芯建设集团有限公司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联系人：行增凯</w:t>
      </w:r>
    </w:p>
    <w:p>
      <w:pPr>
        <w:pStyle w:val="null3"/>
      </w:pPr>
      <w:r>
        <w:rPr>
          <w:rFonts w:ascii="仿宋_GB2312" w:hAnsi="仿宋_GB2312" w:cs="仿宋_GB2312" w:eastAsia="仿宋_GB2312"/>
        </w:rPr>
        <w:t>联系电话：0913-2101155</w:t>
      </w:r>
    </w:p>
    <w:p>
      <w:pPr>
        <w:pStyle w:val="null3"/>
      </w:pPr>
      <w:r>
        <w:rPr>
          <w:rFonts w:ascii="仿宋_GB2312" w:hAnsi="仿宋_GB2312" w:cs="仿宋_GB2312" w:eastAsia="仿宋_GB2312"/>
        </w:rPr>
        <w:t>地址：陕西省渭南市高新技术产业开发区万达广场4号写字楼301-1室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负责陕西省第十八届运动会比赛期间证件的查验系统搭建及设备租赁、证件制作等相关工作，包括但不限于软件系统服务及相关定制；人员通行证件、车辆通行证件制作；提供制证、验证所需的设备使用服务;验证现场建设及完成比赛所需的材料采购;证件查验设备租赁、系统硬件及相关配件租赁、制证人员服务;驻点技术支持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陕西省第十八届运动会2026年证件制作及验证服务项目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标的名称：陕西省第十八届运动会2026年证件制作及验证服务项目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1、采购内容：负责陕西省第十八届运动会比赛期间证件的查验系统搭建及设备租赁、证件制作等相关工作，包括但不限于软件系统服务及相关定制；人员通行证件、车辆通行证件制作；提供制证、验证所需的设备使用服务;验证现场建设及完成比赛所需的材料采购;证件查验设备租赁、系统硬件及相关配件租赁、制证人员服务;驻点技术支持服务。</w:t>
            </w:r>
          </w:p>
          <w:p>
            <w:pPr>
              <w:pStyle w:val="null3"/>
            </w:pPr>
            <w:r>
              <w:rPr>
                <w:rFonts w:ascii="仿宋_GB2312" w:hAnsi="仿宋_GB2312" w:cs="仿宋_GB2312" w:eastAsia="仿宋_GB2312"/>
              </w:rPr>
              <w:t>2、服务期限：合同签订之日起至省第十八届运动会赛事及开闭幕式活动全部结束，完成全部证件管理、现场服务、资料归档及后续收尾工作为止。</w:t>
            </w:r>
          </w:p>
          <w:p>
            <w:pPr>
              <w:pStyle w:val="null3"/>
            </w:pPr>
            <w:r>
              <w:rPr>
                <w:rFonts w:ascii="仿宋_GB2312" w:hAnsi="仿宋_GB2312" w:cs="仿宋_GB2312" w:eastAsia="仿宋_GB2312"/>
              </w:rPr>
              <w:t>3、服务地点：采购人指定地点。</w:t>
            </w:r>
          </w:p>
          <w:p>
            <w:pPr>
              <w:pStyle w:val="null3"/>
              <w:jc w:val="both"/>
            </w:pPr>
            <w:r>
              <w:rPr>
                <w:rFonts w:ascii="仿宋_GB2312" w:hAnsi="仿宋_GB2312" w:cs="仿宋_GB2312" w:eastAsia="仿宋_GB2312"/>
              </w:rPr>
              <w:t>4、服务质量标准：符合现行国家、行业相关规范标准及采购文件、合同约定要求，满足项目实际使用需求。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1.《中华人民共和国电子签名法》；</w:t>
            </w:r>
          </w:p>
          <w:p>
            <w:pPr>
              <w:pStyle w:val="null3"/>
            </w:pPr>
            <w:r>
              <w:rPr>
                <w:rFonts w:ascii="仿宋_GB2312" w:hAnsi="仿宋_GB2312" w:cs="仿宋_GB2312" w:eastAsia="仿宋_GB2312"/>
              </w:rPr>
              <w:t>2.《陕西省政务电子证照管理办法（试行）》；</w:t>
            </w:r>
          </w:p>
          <w:p>
            <w:pPr>
              <w:pStyle w:val="null3"/>
            </w:pPr>
            <w:r>
              <w:rPr>
                <w:rFonts w:ascii="仿宋_GB2312" w:hAnsi="仿宋_GB2312" w:cs="仿宋_GB2312" w:eastAsia="仿宋_GB2312"/>
              </w:rPr>
              <w:t>3.《陕西省政务电子印章管理办法（试行）》；</w:t>
            </w:r>
          </w:p>
          <w:p>
            <w:pPr>
              <w:pStyle w:val="null3"/>
            </w:pPr>
            <w:r>
              <w:rPr>
                <w:rFonts w:ascii="仿宋_GB2312" w:hAnsi="仿宋_GB2312" w:cs="仿宋_GB2312" w:eastAsia="仿宋_GB2312"/>
              </w:rPr>
              <w:t>4.《陕西省行政执法证件管理办法》；</w:t>
            </w:r>
          </w:p>
          <w:p>
            <w:pPr>
              <w:pStyle w:val="null3"/>
            </w:pPr>
            <w:r>
              <w:rPr>
                <w:rFonts w:ascii="仿宋_GB2312" w:hAnsi="仿宋_GB2312" w:cs="仿宋_GB2312" w:eastAsia="仿宋_GB2312"/>
              </w:rPr>
              <w:t>5.《信息安全等级保护基本要求》（GB/T 22239-2019）；</w:t>
            </w:r>
          </w:p>
          <w:p>
            <w:pPr>
              <w:pStyle w:val="null3"/>
            </w:pPr>
            <w:r>
              <w:rPr>
                <w:rFonts w:ascii="仿宋_GB2312" w:hAnsi="仿宋_GB2312" w:cs="仿宋_GB2312" w:eastAsia="仿宋_GB2312"/>
              </w:rPr>
              <w:t>6.《人脸识别系统技术要求》（GB/T 35678-2017）；</w:t>
            </w:r>
          </w:p>
          <w:p>
            <w:pPr>
              <w:pStyle w:val="null3"/>
            </w:pPr>
            <w:r>
              <w:rPr>
                <w:rFonts w:ascii="仿宋_GB2312" w:hAnsi="仿宋_GB2312" w:cs="仿宋_GB2312" w:eastAsia="仿宋_GB2312"/>
              </w:rPr>
              <w:t>7.《人脸识别活体检测技术要求》（GB/T 38671-2020）；</w:t>
            </w:r>
          </w:p>
          <w:p>
            <w:pPr>
              <w:pStyle w:val="null3"/>
            </w:pPr>
            <w:r>
              <w:rPr>
                <w:rFonts w:ascii="仿宋_GB2312" w:hAnsi="仿宋_GB2312" w:cs="仿宋_GB2312" w:eastAsia="仿宋_GB2312"/>
              </w:rPr>
              <w:t>8.《出入口控制人脸识别技术要求》（GA/T 1093-2013）；</w:t>
            </w:r>
          </w:p>
          <w:p>
            <w:pPr>
              <w:pStyle w:val="null3"/>
            </w:pPr>
            <w:r>
              <w:rPr>
                <w:rFonts w:ascii="仿宋_GB2312" w:hAnsi="仿宋_GB2312" w:cs="仿宋_GB2312" w:eastAsia="仿宋_GB2312"/>
              </w:rPr>
              <w:t>9.《信息安全技术 个人信息安全规范》（GB/T 35273-2020）；</w:t>
            </w:r>
          </w:p>
          <w:p>
            <w:pPr>
              <w:pStyle w:val="null3"/>
            </w:pPr>
            <w:r>
              <w:rPr>
                <w:rFonts w:ascii="仿宋_GB2312" w:hAnsi="仿宋_GB2312" w:cs="仿宋_GB2312" w:eastAsia="仿宋_GB2312"/>
              </w:rPr>
              <w:t>10.《证件卡、证卡材料通用技术规范》（GB/T 18893）；</w:t>
            </w:r>
          </w:p>
          <w:p>
            <w:pPr>
              <w:pStyle w:val="null3"/>
            </w:pPr>
            <w:r>
              <w:rPr>
                <w:rFonts w:ascii="仿宋_GB2312" w:hAnsi="仿宋_GB2312" w:cs="仿宋_GB2312" w:eastAsia="仿宋_GB2312"/>
              </w:rPr>
              <w:t>11.《印刷品质量、制卡制作工艺规范》（GB/T 27930）；</w:t>
            </w:r>
          </w:p>
          <w:p>
            <w:pPr>
              <w:pStyle w:val="null3"/>
              <w:jc w:val="both"/>
            </w:pPr>
            <w:r>
              <w:rPr>
                <w:rFonts w:ascii="仿宋_GB2312" w:hAnsi="仿宋_GB2312" w:cs="仿宋_GB2312" w:eastAsia="仿宋_GB2312"/>
              </w:rPr>
              <w:t>12.其他相关法律法规及规范要求。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三、具体要求</w:t>
            </w:r>
          </w:p>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围绕陕西省第十八届运动会赛事及开闭幕式专场活动证件的信息接收、采集，证件制作、发放、查验等相关业务需要，构建全面、高效、安全的证件管理体系，提供证件管理咨询、证件防伪设计、证件制作与查验等技术服务。</w:t>
            </w:r>
          </w:p>
          <w:p>
            <w:pPr>
              <w:pStyle w:val="null3"/>
            </w:pPr>
            <w:r>
              <w:rPr>
                <w:rFonts w:ascii="仿宋_GB2312" w:hAnsi="仿宋_GB2312" w:cs="仿宋_GB2312" w:eastAsia="仿宋_GB2312"/>
              </w:rPr>
              <w:t>1.提供陕西省第十八届运动会赛事及开闭幕式证件权限设计及证件管理总体方案的规划，结合赛事实际场景、安保要求及各岗位权责，制定科学可行、贴合需求的总体实施规划，为证件全流程管理提供指导依据。</w:t>
            </w:r>
          </w:p>
          <w:p>
            <w:pPr>
              <w:pStyle w:val="null3"/>
            </w:pPr>
            <w:r>
              <w:rPr>
                <w:rFonts w:ascii="仿宋_GB2312" w:hAnsi="仿宋_GB2312" w:cs="仿宋_GB2312" w:eastAsia="仿宋_GB2312"/>
              </w:rPr>
              <w:t>2.完成陕西省第十八届运动会赛事及开闭幕式各类人员证件及车辆证件的样式设计、防伪设计和证件打样制作，完成各类证件手册、样本及使用说明的设计、制作，确保证件样式规范、防伪性能达标，符合赛事形象要求，并通过省十八运会渭南市筹委会相关主管部门审核。</w:t>
            </w:r>
          </w:p>
          <w:p>
            <w:pPr>
              <w:pStyle w:val="null3"/>
            </w:pPr>
            <w:r>
              <w:rPr>
                <w:rFonts w:ascii="仿宋_GB2312" w:hAnsi="仿宋_GB2312" w:cs="仿宋_GB2312" w:eastAsia="仿宋_GB2312"/>
              </w:rPr>
              <w:t>3.提供证件管理系统，实现陕西省第十八届运动会赛事及开闭幕式人员、车辆证件信息注册采集、设计、审核、制证、激活、发放、挂失、查验等全流程数字化管理；支持与赛事报名、安保、赛事指挥等系统的接口数据对接，确保数据互通、高效同步，保障证件管理工作顺畅推进。</w:t>
            </w:r>
          </w:p>
          <w:p>
            <w:pPr>
              <w:pStyle w:val="null3"/>
            </w:pPr>
            <w:r>
              <w:rPr>
                <w:rFonts w:ascii="仿宋_GB2312" w:hAnsi="仿宋_GB2312" w:cs="仿宋_GB2312" w:eastAsia="仿宋_GB2312"/>
              </w:rPr>
              <w:t>4.提供陕西省第十八届运动会赛事及开闭幕式人员及车辆证件制作、查验相关的耗材及硬件设备，确保设备性能稳定、耗材质量达标，满足证件制作、现场查验的全流程需求，并提供设备安装调试、操作培训、全程运维、故障处置及备用设备保障服务。</w:t>
            </w:r>
          </w:p>
          <w:p>
            <w:pPr>
              <w:pStyle w:val="null3"/>
            </w:pPr>
            <w:r>
              <w:rPr>
                <w:rFonts w:ascii="仿宋_GB2312" w:hAnsi="仿宋_GB2312" w:cs="仿宋_GB2312" w:eastAsia="仿宋_GB2312"/>
              </w:rPr>
              <w:t>5.提供专业驻场技术服务团队，团队服务内容包括但不限于项目管理、证件制作、技术支持、业务培训、应急响应等，团队需全程驻场，紧密配合省十八运会渭南市筹委会开展工作，及时响应并妥善处理证件管理过程中的各类问题，保障工作高效推进。</w:t>
            </w:r>
          </w:p>
          <w:p>
            <w:pPr>
              <w:pStyle w:val="null3"/>
            </w:pPr>
            <w:r>
              <w:rPr>
                <w:rFonts w:ascii="仿宋_GB2312" w:hAnsi="仿宋_GB2312" w:cs="仿宋_GB2312" w:eastAsia="仿宋_GB2312"/>
              </w:rPr>
              <w:t>6.提供完善的证件管理工作信息安全保障措施，严格保护证件相关人员信息、车辆信息及系统数据安全，严防信息泄露、篡改、滥用等情况发生；在陕西省第十八届运动会赛事全部结束后，按照省十八运会渭南市筹委会要求，完成相关数据的移交及合规销毁工作，确保数据安全闭环。</w:t>
            </w:r>
          </w:p>
          <w:p>
            <w:pPr>
              <w:pStyle w:val="null3"/>
            </w:pPr>
            <w:r>
              <w:rPr>
                <w:rFonts w:ascii="仿宋_GB2312" w:hAnsi="仿宋_GB2312" w:cs="仿宋_GB2312" w:eastAsia="仿宋_GB2312"/>
              </w:rPr>
              <w:t>7.与省十八运会渭南市筹委会协商一致的其他与陕西省第十八届运动会赛事及开闭幕式证件制作、查验、管理相关的工作，积极配合筹委会完成各类应急处置、临时调整等相关任务。</w:t>
            </w:r>
          </w:p>
          <w:p>
            <w:pPr>
              <w:pStyle w:val="null3"/>
            </w:pPr>
            <w:r>
              <w:rPr>
                <w:rFonts w:ascii="仿宋_GB2312" w:hAnsi="仿宋_GB2312" w:cs="仿宋_GB2312" w:eastAsia="仿宋_GB2312"/>
              </w:rPr>
              <w:t>（二）证件制作与查验服务清单</w:t>
            </w:r>
          </w:p>
          <w:tbl>
            <w:tblPr>
              <w:tblBorders>
                <w:top w:val="none" w:color="000000" w:sz="4"/>
                <w:left w:val="none" w:color="000000" w:sz="4"/>
                <w:bottom w:val="none" w:color="000000" w:sz="4"/>
                <w:right w:val="none" w:color="000000" w:sz="4"/>
                <w:insideH w:val="none"/>
                <w:insideV w:val="none"/>
              </w:tblBorders>
            </w:tblPr>
            <w:tblGrid>
              <w:gridCol w:w="201"/>
              <w:gridCol w:w="348"/>
              <w:gridCol w:w="1549"/>
              <w:gridCol w:w="233"/>
              <w:gridCol w:w="223"/>
            </w:tblGrid>
            <w:tr>
              <w:tc>
                <w:tcPr>
                  <w:tcW w:type="dxa" w:w="201"/>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b/>
                    </w:rPr>
                    <w:t>序号</w:t>
                  </w:r>
                </w:p>
              </w:tc>
              <w:tc>
                <w:tcPr>
                  <w:tcW w:type="dxa" w:w="34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b/>
                    </w:rPr>
                    <w:t>名称</w:t>
                  </w:r>
                </w:p>
              </w:tc>
              <w:tc>
                <w:tcPr>
                  <w:tcW w:type="dxa" w:w="1549"/>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b/>
                    </w:rPr>
                    <w:t>技术（参数）要求</w:t>
                  </w:r>
                </w:p>
              </w:tc>
              <w:tc>
                <w:tcPr>
                  <w:tcW w:type="dxa" w:w="23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b/>
                    </w:rPr>
                    <w:t>数量</w:t>
                  </w:r>
                </w:p>
              </w:tc>
              <w:tc>
                <w:tcPr>
                  <w:tcW w:type="dxa" w:w="22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b/>
                    </w:rPr>
                    <w:t>单位</w:t>
                  </w:r>
                </w:p>
              </w:tc>
            </w:tr>
            <w:tr>
              <w:tc>
                <w:tcPr>
                  <w:tcW w:type="dxa" w:w="2554"/>
                  <w:gridSpan w:val="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b/>
                    </w:rPr>
                    <w:t>一、证件设计及制作</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34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人员及车辆证件样式设计</w:t>
                  </w:r>
                </w:p>
              </w:tc>
              <w:tc>
                <w:tcPr>
                  <w:tcW w:type="dxa" w:w="1549"/>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根据采购人提供的核心图形及颜色规范对涉及的各类人员及车辆证件样式进行样式深化设计。设计原则为：①证件具有整体美感，满足功能需要。②证件体现陕西省第十八届运动会精神，具有本届运动会特点，体现时代特色。③证件体现陕西省的文化特色和主办地渭南的地区特色。④证件设计色彩流畅，便于识别，配合防伪功能设计，外观形象设计须为安全防伪设计预留位置。</w:t>
                  </w:r>
                </w:p>
              </w:tc>
              <w:tc>
                <w:tcPr>
                  <w:tcW w:type="dxa" w:w="23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22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项</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2</w:t>
                  </w:r>
                </w:p>
              </w:tc>
              <w:tc>
                <w:tcPr>
                  <w:tcW w:type="dxa" w:w="34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人员及车辆证件防伪设计</w:t>
                  </w: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人员及车辆证件防伪设计包含证件物理防伪和数字防伪设计，需融入多种组合的防伪措施和技术手段，从证件的防伪制作、物理制证材料、数字防伪体系、工艺流程等方面进行详细设计，形成防伪技术方案。</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项</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3</w:t>
                  </w:r>
                </w:p>
              </w:tc>
              <w:tc>
                <w:tcPr>
                  <w:tcW w:type="dxa" w:w="34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开闭幕式活动人员证件</w:t>
                  </w: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证件卡体为 PVC 材质，13.56MHZ、支持ISO15693协议，尺寸125 mm×88mm×1mm。</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10000</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张</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4</w:t>
                  </w:r>
                </w:p>
              </w:tc>
              <w:tc>
                <w:tcPr>
                  <w:tcW w:type="dxa" w:w="34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赛事注册人员证件</w:t>
                  </w: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证件卡体为PVC材质，不含芯片，尺寸125 mm×88mm×1mm。</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15000</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张</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5</w:t>
                  </w:r>
                </w:p>
              </w:tc>
              <w:tc>
                <w:tcPr>
                  <w:tcW w:type="dxa" w:w="34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开闭幕式活动车辆证件</w:t>
                  </w: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证件采用塑封证件，A4 尺寸，不含芯片，证件材料包括塑封膜、防伪安全纸。</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1000</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张</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6</w:t>
                  </w:r>
                </w:p>
              </w:tc>
              <w:tc>
                <w:tcPr>
                  <w:tcW w:type="dxa" w:w="34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赛事车辆证件</w:t>
                  </w: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证件采用塑封证件，A4 尺寸，不含芯片，证件材料包括塑封膜、防伪安全纸。</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2000</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张</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7</w:t>
                  </w:r>
                </w:p>
              </w:tc>
              <w:tc>
                <w:tcPr>
                  <w:tcW w:type="dxa" w:w="34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四色双钩彩色挂带</w:t>
                  </w: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四色定制双钩挂带，采用尼龙材料，四色印刷，尺寸 900mm×20mm×0.8mm，金属双挂钩。</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25000</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条</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8</w:t>
                  </w:r>
                </w:p>
              </w:tc>
              <w:tc>
                <w:tcPr>
                  <w:tcW w:type="dxa" w:w="34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证件样本</w:t>
                  </w: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铜版纸四色彩印，32 开装订成册，内容包括赛事使用的所有种类证件图样及使用说明。</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100</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本</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9</w:t>
                  </w:r>
                </w:p>
              </w:tc>
              <w:tc>
                <w:tcPr>
                  <w:tcW w:type="dxa" w:w="34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激光防伪标识</w:t>
                  </w: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加贴在证件表面，不可重复使用。圆形直径18mm；不低于5种防伪技术（含一线/二线/三线防伪），使用陕西省十八运定制防伪图案；使用专用工具可见隐藏的特定液晶图案。</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28000</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个</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10</w:t>
                  </w:r>
                </w:p>
              </w:tc>
              <w:tc>
                <w:tcPr>
                  <w:tcW w:type="dxa" w:w="34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专场标识</w:t>
                  </w: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制作材料为不干胶纸贴，正面印刷图案和文字，背面涂不干胶。图案和文字要求彩色印刷。</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5500</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个</w:t>
                  </w:r>
                </w:p>
              </w:tc>
            </w:tr>
            <w:tr>
              <w:tc>
                <w:tcPr>
                  <w:tcW w:type="dxa" w:w="2554"/>
                  <w:gridSpan w:val="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b/>
                    </w:rPr>
                    <w:t>二、证件查验设备</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11</w:t>
                  </w:r>
                </w:p>
              </w:tc>
              <w:tc>
                <w:tcPr>
                  <w:tcW w:type="dxa" w:w="34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闸机式人员验证设备</w:t>
                  </w:r>
                </w:p>
              </w:tc>
              <w:tc>
                <w:tcPr>
                  <w:tcW w:type="dxa" w:w="1549"/>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单向、双向摆功能，可单向或双向控制人员进出，红外感应进、出通道。可识读带RFID芯片证件及人脸比对。304不锈钢定制设计，移动式底板；人脸面板：支持触摸屏、wifi模块、以太网、USB、RS485数据接口；支持报警接入和通用I/O输出；人脸识别算法：支持人脸实时采集、人脸滤重，支持不低于10万人脸库离线核验，比对时间≤500ms；二维码识别：自动识别所有标准的OCR和QR码动态扫描；RFID卡识读：支持RFID（ISO14443A/B、ISO15693）读卡，支持防冲突检测，支持国密算法识读；身份证识读：支持小票打印；支持人脸-身份证离线比对，支持黑名单管理；网络接口：支持RJ-45以太网连接；最大通行速度：不低于30-40人/分钟；工作环境室内或室外，支持无网络离线核验；安全底板尺寸：支持60cm×80cm×6cm（60cm宽通道）、160cm×100cm×6cm（80cm宽通道）。</w:t>
                  </w:r>
                </w:p>
              </w:tc>
              <w:tc>
                <w:tcPr>
                  <w:tcW w:type="dxa" w:w="23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25</w:t>
                  </w:r>
                </w:p>
              </w:tc>
              <w:tc>
                <w:tcPr>
                  <w:tcW w:type="dxa" w:w="22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套</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12</w:t>
                  </w:r>
                </w:p>
              </w:tc>
              <w:tc>
                <w:tcPr>
                  <w:tcW w:type="dxa" w:w="34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手持式查验设备</w:t>
                  </w: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用于移动式人员证件查验，可识别RFID芯片证件/二维条码，支持摄像头扫描；不低于5.0英寸彩色显示屏，分辨率不低于720x1280；电容屏，支持多点触控、手套触摸；具有防掉电数据安全保护，内置国密安全算法；一次充电，正常工作状态下可使用不低于8小时。</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20</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台</w:t>
                  </w:r>
                </w:p>
              </w:tc>
            </w:tr>
            <w:tr>
              <w:tc>
                <w:tcPr>
                  <w:tcW w:type="dxa" w:w="2554"/>
                  <w:gridSpan w:val="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b/>
                    </w:rPr>
                    <w:t>三、软件系统</w:t>
                  </w:r>
                </w:p>
              </w:tc>
            </w:tr>
            <w:tr>
              <w:tc>
                <w:tcPr>
                  <w:tcW w:type="dxa" w:w="201"/>
                  <w:vMerge w:val="restart"/>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13</w:t>
                  </w:r>
                </w:p>
              </w:tc>
              <w:tc>
                <w:tcPr>
                  <w:tcW w:type="dxa" w:w="348"/>
                  <w:vMerge w:val="restart"/>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证件制作系统</w:t>
                  </w:r>
                </w:p>
              </w:tc>
              <w:tc>
                <w:tcPr>
                  <w:tcW w:type="dxa" w:w="1549"/>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注册数据可视化模块：支持人员注册状态统计、证件状态统计、审单状态统计、数据图表统计、通知公告查看。</w:t>
                  </w:r>
                </w:p>
              </w:tc>
              <w:tc>
                <w:tcPr>
                  <w:tcW w:type="dxa" w:w="23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22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项</w:t>
                  </w:r>
                </w:p>
              </w:tc>
            </w:tr>
            <w:tr>
              <w:tc>
                <w:tcPr>
                  <w:tcW w:type="dxa" w:w="201"/>
                  <w:vMerge/>
                  <w:tcBorders>
                    <w:top w:val="none" w:color="000000" w:sz="4"/>
                    <w:left w:val="single" w:color="000000" w:sz="4"/>
                    <w:bottom w:val="single" w:color="000000" w:sz="4"/>
                    <w:right w:val="single" w:color="000000" w:sz="4"/>
                  </w:tcBorders>
                </w:tcPr>
                <w:p/>
              </w:tc>
              <w:tc>
                <w:tcPr>
                  <w:tcW w:type="dxa" w:w="348"/>
                  <w:vMerge/>
                  <w:tcBorders>
                    <w:top w:val="single" w:color="000000" w:sz="4"/>
                    <w:left w:val="single" w:color="000000" w:sz="4"/>
                    <w:bottom w:val="single" w:color="000000" w:sz="4"/>
                    <w:right w:val="single" w:color="000000" w:sz="4"/>
                  </w:tcBorders>
                </w:tcP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注册管理模块：支持注册信息在线采集，离线注册电子表格导入导出、注册数据查看、人员照片查看、导入日志查看。</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项</w:t>
                  </w:r>
                </w:p>
              </w:tc>
            </w:tr>
            <w:tr>
              <w:tc>
                <w:tcPr>
                  <w:tcW w:type="dxa" w:w="201"/>
                  <w:vMerge/>
                  <w:tcBorders>
                    <w:top w:val="none" w:color="000000" w:sz="4"/>
                    <w:left w:val="single" w:color="000000" w:sz="4"/>
                    <w:bottom w:val="single" w:color="000000" w:sz="4"/>
                    <w:right w:val="single" w:color="000000" w:sz="4"/>
                  </w:tcBorders>
                </w:tcPr>
                <w:p/>
              </w:tc>
              <w:tc>
                <w:tcPr>
                  <w:tcW w:type="dxa" w:w="348"/>
                  <w:vMerge/>
                  <w:tcBorders>
                    <w:top w:val="single" w:color="000000" w:sz="4"/>
                    <w:left w:val="single" w:color="000000" w:sz="4"/>
                    <w:bottom w:val="single" w:color="000000" w:sz="4"/>
                    <w:right w:val="single" w:color="000000" w:sz="4"/>
                  </w:tcBorders>
                </w:tcP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注册报表管理模块：支持注册提交报告、领卡凭证汇总单、注册状态报告、按主责部门人员类别汇总统计等报表查看</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项</w:t>
                  </w:r>
                </w:p>
              </w:tc>
            </w:tr>
            <w:tr>
              <w:tc>
                <w:tcPr>
                  <w:tcW w:type="dxa" w:w="201"/>
                  <w:vMerge/>
                  <w:tcBorders>
                    <w:top w:val="none" w:color="000000" w:sz="4"/>
                    <w:left w:val="single" w:color="000000" w:sz="4"/>
                    <w:bottom w:val="single" w:color="000000" w:sz="4"/>
                    <w:right w:val="single" w:color="000000" w:sz="4"/>
                  </w:tcBorders>
                </w:tcPr>
                <w:p/>
              </w:tc>
              <w:tc>
                <w:tcPr>
                  <w:tcW w:type="dxa" w:w="348"/>
                  <w:vMerge/>
                  <w:tcBorders>
                    <w:top w:val="single" w:color="000000" w:sz="4"/>
                    <w:left w:val="single" w:color="000000" w:sz="4"/>
                    <w:bottom w:val="single" w:color="000000" w:sz="4"/>
                    <w:right w:val="single" w:color="000000" w:sz="4"/>
                  </w:tcBorders>
                </w:tcP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证件信息资源池模块：对所有待制证人员的基本信息排重后统一存储，支持批次/表内查重、数据库查重等排重操作；支持办证记录查询；批量导出人员信息、照片等资料；导出项可按照方案配置。</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项</w:t>
                  </w:r>
                </w:p>
              </w:tc>
            </w:tr>
            <w:tr>
              <w:tc>
                <w:tcPr>
                  <w:tcW w:type="dxa" w:w="201"/>
                  <w:vMerge/>
                  <w:tcBorders>
                    <w:top w:val="none" w:color="000000" w:sz="4"/>
                    <w:left w:val="single" w:color="000000" w:sz="4"/>
                    <w:bottom w:val="single" w:color="000000" w:sz="4"/>
                    <w:right w:val="single" w:color="000000" w:sz="4"/>
                  </w:tcBorders>
                </w:tcPr>
                <w:p/>
              </w:tc>
              <w:tc>
                <w:tcPr>
                  <w:tcW w:type="dxa" w:w="348"/>
                  <w:vMerge/>
                  <w:tcBorders>
                    <w:top w:val="single" w:color="000000" w:sz="4"/>
                    <w:left w:val="single" w:color="000000" w:sz="4"/>
                    <w:bottom w:val="single" w:color="000000" w:sz="4"/>
                    <w:right w:val="single" w:color="000000" w:sz="4"/>
                  </w:tcBorders>
                </w:tcP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审核管理模块：支持制证信息采集配置；支持授权账户对受理数据与回收站问题数据调整；支持对审核完成的数据形成制证批次，支持生成批次确认单。</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项</w:t>
                  </w:r>
                </w:p>
              </w:tc>
            </w:tr>
            <w:tr>
              <w:tc>
                <w:tcPr>
                  <w:tcW w:type="dxa" w:w="201"/>
                  <w:vMerge/>
                  <w:tcBorders>
                    <w:top w:val="none" w:color="000000" w:sz="4"/>
                    <w:left w:val="single" w:color="000000" w:sz="4"/>
                    <w:bottom w:val="single" w:color="000000" w:sz="4"/>
                    <w:right w:val="single" w:color="000000" w:sz="4"/>
                  </w:tcBorders>
                </w:tcPr>
                <w:p/>
              </w:tc>
              <w:tc>
                <w:tcPr>
                  <w:tcW w:type="dxa" w:w="348"/>
                  <w:vMerge/>
                  <w:tcBorders>
                    <w:top w:val="single" w:color="000000" w:sz="4"/>
                    <w:left w:val="single" w:color="000000" w:sz="4"/>
                    <w:bottom w:val="single" w:color="000000" w:sz="4"/>
                    <w:right w:val="single" w:color="000000" w:sz="4"/>
                  </w:tcBorders>
                </w:tcP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照片处理模块：对制证数据中的照片进行预处理检测，主要包括照片文件大小检测和自动压缩等。</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项</w:t>
                  </w:r>
                </w:p>
              </w:tc>
            </w:tr>
            <w:tr>
              <w:tc>
                <w:tcPr>
                  <w:tcW w:type="dxa" w:w="201"/>
                  <w:vMerge/>
                  <w:tcBorders>
                    <w:top w:val="none" w:color="000000" w:sz="4"/>
                    <w:left w:val="single" w:color="000000" w:sz="4"/>
                    <w:bottom w:val="single" w:color="000000" w:sz="4"/>
                    <w:right w:val="single" w:color="000000" w:sz="4"/>
                  </w:tcBorders>
                </w:tcPr>
                <w:p/>
              </w:tc>
              <w:tc>
                <w:tcPr>
                  <w:tcW w:type="dxa" w:w="348"/>
                  <w:vMerge/>
                  <w:tcBorders>
                    <w:top w:val="single" w:color="000000" w:sz="4"/>
                    <w:left w:val="single" w:color="000000" w:sz="4"/>
                    <w:bottom w:val="single" w:color="000000" w:sz="4"/>
                    <w:right w:val="single" w:color="000000" w:sz="4"/>
                  </w:tcBorders>
                </w:tcP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证件模板管理模块：实现人员证件的排版和个性化样式设置功能，可进行图形化的模板界面设计、模板数据映射、模板公式设置、模板图层设置、以及模板打印配置等操作；管理不同证件类型的证件样式，完成证件样式及数据关联设置。</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项</w:t>
                  </w:r>
                </w:p>
              </w:tc>
            </w:tr>
            <w:tr>
              <w:tc>
                <w:tcPr>
                  <w:tcW w:type="dxa" w:w="201"/>
                  <w:vMerge/>
                  <w:tcBorders>
                    <w:top w:val="none" w:color="000000" w:sz="4"/>
                    <w:left w:val="single" w:color="000000" w:sz="4"/>
                    <w:bottom w:val="single" w:color="000000" w:sz="4"/>
                    <w:right w:val="single" w:color="000000" w:sz="4"/>
                  </w:tcBorders>
                </w:tcPr>
                <w:p/>
              </w:tc>
              <w:tc>
                <w:tcPr>
                  <w:tcW w:type="dxa" w:w="348"/>
                  <w:vMerge/>
                  <w:tcBorders>
                    <w:top w:val="single" w:color="000000" w:sz="4"/>
                    <w:left w:val="single" w:color="000000" w:sz="4"/>
                    <w:bottom w:val="single" w:color="000000" w:sz="4"/>
                    <w:right w:val="single" w:color="000000" w:sz="4"/>
                  </w:tcBorders>
                </w:tcP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证件列表与证件打印模块：支持显示各批次证件数量和状态，完成实现打印数据管理、打印队列管理、打印模板关联管理、打印参数配置、打印预览管理、打印日志管理等功能。</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项</w:t>
                  </w:r>
                </w:p>
              </w:tc>
            </w:tr>
            <w:tr>
              <w:tc>
                <w:tcPr>
                  <w:tcW w:type="dxa" w:w="201"/>
                  <w:vMerge/>
                  <w:tcBorders>
                    <w:top w:val="none" w:color="000000" w:sz="4"/>
                    <w:left w:val="single" w:color="000000" w:sz="4"/>
                    <w:bottom w:val="single" w:color="000000" w:sz="4"/>
                    <w:right w:val="single" w:color="000000" w:sz="4"/>
                  </w:tcBorders>
                </w:tcPr>
                <w:p/>
              </w:tc>
              <w:tc>
                <w:tcPr>
                  <w:tcW w:type="dxa" w:w="348"/>
                  <w:vMerge/>
                  <w:tcBorders>
                    <w:top w:val="single" w:color="000000" w:sz="4"/>
                    <w:left w:val="single" w:color="000000" w:sz="4"/>
                    <w:bottom w:val="single" w:color="000000" w:sz="4"/>
                    <w:right w:val="single" w:color="000000" w:sz="4"/>
                  </w:tcBorders>
                </w:tcP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证件电写入模块：实现证件发卡、制证信息核验功能；将电子证件信息经过处理后写入到证件芯片中,实现证件的个性化，确保证件的表面打印信息和内部数字信息相一致。</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项</w:t>
                  </w:r>
                </w:p>
              </w:tc>
            </w:tr>
            <w:tr>
              <w:tc>
                <w:tcPr>
                  <w:tcW w:type="dxa" w:w="201"/>
                  <w:vMerge w:val="restart"/>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14</w:t>
                  </w:r>
                </w:p>
              </w:tc>
              <w:tc>
                <w:tcPr>
                  <w:tcW w:type="dxa" w:w="348"/>
                  <w:vMerge w:val="restart"/>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证件核验系统</w:t>
                  </w: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智能查验模块：支持证件信息读取、证件通行权限判别、人像抓拍识别、人证合一校验、证件查验结果双屏差异化展示、证件通行权限符合性提示、查验数据管理、验证点位设置等。</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项</w:t>
                  </w:r>
                </w:p>
              </w:tc>
            </w:tr>
            <w:tr>
              <w:tc>
                <w:tcPr>
                  <w:tcW w:type="dxa" w:w="201"/>
                  <w:vMerge/>
                  <w:tcBorders>
                    <w:top w:val="none" w:color="000000" w:sz="4"/>
                    <w:left w:val="single" w:color="000000" w:sz="4"/>
                    <w:bottom w:val="single" w:color="000000" w:sz="4"/>
                    <w:right w:val="single" w:color="000000" w:sz="4"/>
                  </w:tcBorders>
                </w:tcPr>
                <w:p/>
              </w:tc>
              <w:tc>
                <w:tcPr>
                  <w:tcW w:type="dxa" w:w="348"/>
                  <w:vMerge/>
                  <w:tcBorders>
                    <w:top w:val="none" w:color="000000" w:sz="4"/>
                    <w:left w:val="single" w:color="000000" w:sz="4"/>
                    <w:bottom w:val="single" w:color="000000" w:sz="4"/>
                    <w:right w:val="single" w:color="000000" w:sz="4"/>
                  </w:tcBorders>
                </w:tcP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验证管理与监控模块：实现对人员证件查验设备及查验数据的统一管理，支持人员查询、数据上报、数据接收、设备状态查询、设备维护、离线数据导入、验证点位分组配置、验证权限设置等。</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项</w:t>
                  </w:r>
                </w:p>
              </w:tc>
            </w:tr>
            <w:tr>
              <w:tc>
                <w:tcPr>
                  <w:tcW w:type="dxa" w:w="201"/>
                  <w:vMerge/>
                  <w:tcBorders>
                    <w:top w:val="none" w:color="000000" w:sz="4"/>
                    <w:left w:val="single" w:color="000000" w:sz="4"/>
                    <w:bottom w:val="single" w:color="000000" w:sz="4"/>
                    <w:right w:val="single" w:color="000000" w:sz="4"/>
                  </w:tcBorders>
                </w:tcPr>
                <w:p/>
              </w:tc>
              <w:tc>
                <w:tcPr>
                  <w:tcW w:type="dxa" w:w="348"/>
                  <w:vMerge/>
                  <w:tcBorders>
                    <w:top w:val="none" w:color="000000" w:sz="4"/>
                    <w:left w:val="single" w:color="000000" w:sz="4"/>
                    <w:bottom w:val="single" w:color="000000" w:sz="4"/>
                    <w:right w:val="single" w:color="000000" w:sz="4"/>
                  </w:tcBorders>
                </w:tcP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系统管理模块：通过字典管理的方式对证件制作参数进行统一管理和个性化配置，支持根据活动匹配制证配置方案。实现多级用户设置，支持对用户进行功能授权和数据授权，支持用户的新增、编辑、删除、导出、导入等功能。</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项</w:t>
                  </w:r>
                </w:p>
              </w:tc>
            </w:tr>
            <w:tr>
              <w:tc>
                <w:tcPr>
                  <w:tcW w:type="dxa" w:w="201"/>
                  <w:vMerge/>
                  <w:tcBorders>
                    <w:top w:val="none" w:color="000000" w:sz="4"/>
                    <w:left w:val="single" w:color="000000" w:sz="4"/>
                    <w:bottom w:val="single" w:color="000000" w:sz="4"/>
                    <w:right w:val="single" w:color="000000" w:sz="4"/>
                  </w:tcBorders>
                </w:tcPr>
                <w:p/>
              </w:tc>
              <w:tc>
                <w:tcPr>
                  <w:tcW w:type="dxa" w:w="348"/>
                  <w:vMerge/>
                  <w:tcBorders>
                    <w:top w:val="none" w:color="000000" w:sz="4"/>
                    <w:left w:val="single" w:color="000000" w:sz="4"/>
                    <w:bottom w:val="single" w:color="000000" w:sz="4"/>
                    <w:right w:val="single" w:color="000000" w:sz="4"/>
                  </w:tcBorders>
                </w:tcP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活动管理模块：根据不同赛事活动的需求，对赛事活动的编码、系统功能设置、数据复用设置等内容进行统一配置和管理。</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项</w:t>
                  </w:r>
                </w:p>
              </w:tc>
            </w:tr>
            <w:tr>
              <w:tc>
                <w:tcPr>
                  <w:tcW w:type="dxa" w:w="201"/>
                  <w:vMerge/>
                  <w:tcBorders>
                    <w:top w:val="none" w:color="000000" w:sz="4"/>
                    <w:left w:val="single" w:color="000000" w:sz="4"/>
                    <w:bottom w:val="single" w:color="000000" w:sz="4"/>
                    <w:right w:val="single" w:color="000000" w:sz="4"/>
                  </w:tcBorders>
                </w:tcPr>
                <w:p/>
              </w:tc>
              <w:tc>
                <w:tcPr>
                  <w:tcW w:type="dxa" w:w="348"/>
                  <w:vMerge/>
                  <w:tcBorders>
                    <w:top w:val="none" w:color="000000" w:sz="4"/>
                    <w:left w:val="single" w:color="000000" w:sz="4"/>
                    <w:bottom w:val="single" w:color="000000" w:sz="4"/>
                    <w:right w:val="single" w:color="000000" w:sz="4"/>
                  </w:tcBorders>
                </w:tcP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日志管理模块：提供统一的日志服务接口、日志查询等。</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项</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15</w:t>
                  </w:r>
                </w:p>
              </w:tc>
              <w:tc>
                <w:tcPr>
                  <w:tcW w:type="dxa" w:w="34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辅助数据展示接口</w:t>
                  </w: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为主办方及其他部门提供证件查验相关的数据接口、数据导出等数据接入服务。获取/更新access_token、发送各类统计数据、生成离线ZIP发送数据、接收同步反馈、日志记录等。</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项</w:t>
                  </w:r>
                </w:p>
              </w:tc>
            </w:tr>
            <w:tr>
              <w:tc>
                <w:tcPr>
                  <w:tcW w:type="dxa" w:w="2554"/>
                  <w:gridSpan w:val="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b/>
                    </w:rPr>
                    <w:t>四、系统硬件</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16</w:t>
                  </w:r>
                </w:p>
              </w:tc>
              <w:tc>
                <w:tcPr>
                  <w:tcW w:type="dxa" w:w="34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制证终端计算机</w:t>
                  </w:r>
                </w:p>
              </w:tc>
              <w:tc>
                <w:tcPr>
                  <w:tcW w:type="dxa" w:w="1549"/>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用于生产制作过程中的证件数据处理、证件打印、电写入等，以及身份注册卡的激活操作。显示屏≥14 英寸；性能不低于酷睿I5同等级别处理器；内存容量≥4GB；硬盘容量≥500G；运行稳定，满足制证、排版、芯片写入、系统操作需求，符合政府采购节能产品相关要求。</w:t>
                  </w:r>
                </w:p>
              </w:tc>
              <w:tc>
                <w:tcPr>
                  <w:tcW w:type="dxa" w:w="23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5</w:t>
                  </w:r>
                </w:p>
              </w:tc>
              <w:tc>
                <w:tcPr>
                  <w:tcW w:type="dxa" w:w="22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台</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17</w:t>
                  </w:r>
                </w:p>
              </w:tc>
              <w:tc>
                <w:tcPr>
                  <w:tcW w:type="dxa" w:w="34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UV 喷墨打印机</w:t>
                  </w: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用于PVC证件打印，打印方式：压电喷墨方式；墨水：专用UV墨水盒；UV 固化：内置 LED-UV 灯，即时固化；打印分辨率≥1440dpi，打印色彩：不限于 CMYK+W+V；卡片尺寸支持：75×104mm/86×124mm/90×135mm/67×98mm/60×90mm/125×88mm；通讯接口不少于1个 USB2.0 接口、1个串口。</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3</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台</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18</w:t>
                  </w:r>
                </w:p>
              </w:tc>
              <w:tc>
                <w:tcPr>
                  <w:tcW w:type="dxa" w:w="34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彩色激光打印机</w:t>
                  </w: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用于车辆证件打印。支持正背彩色打印，彩色打印速度≥50ppm；黑白打印速度≥55ppm；耗材类型：鼓粉分离；预热时间：≤8 秒；首页打印时间≤3.5 秒；最高分辨率：1200×2400dpi；支持纸张尺寸：A3或A4。符合政府采购节能产品相关要求。</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台</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19</w:t>
                  </w:r>
                </w:p>
              </w:tc>
              <w:tc>
                <w:tcPr>
                  <w:tcW w:type="dxa" w:w="34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加厚塑封机</w:t>
                  </w: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用于车辆证件塑封。操作方式：热塑封；辊数：≥6 辊；最大过塑宽度：≥340mm；最大过塑厚度：≥1.2mm；速度：300~1600mm /分（速度可调节）；温度：加热温度 70~160℃，连续可调，自动恒温。</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2</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台</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20</w:t>
                  </w:r>
                </w:p>
              </w:tc>
              <w:tc>
                <w:tcPr>
                  <w:tcW w:type="dxa" w:w="34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电动打孔机</w:t>
                  </w: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用于 PVC 证件打孔。可实现打单、双圆孔 4mm，长圆孔 13×3.5mm；响应速度：≤1 秒；压力：0.2 吨；连续冲孔时间：≥20 分钟。</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2</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台</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21</w:t>
                  </w:r>
                </w:p>
              </w:tc>
              <w:tc>
                <w:tcPr>
                  <w:tcW w:type="dxa" w:w="34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证件桌面型读写器</w:t>
                  </w: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用于证件激活核验。证件机读时间：≤1 秒；工作频率：13.56MHz；供电电压：+5V，采用 USB 接口供电，不需外接电源；与证卡通信：支持符合 ISO15693 协议的非接触式 IC 卡，有效通讯距离 0～5cm。</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5</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台</w:t>
                  </w:r>
                </w:p>
              </w:tc>
            </w:tr>
            <w:tr>
              <w:tc>
                <w:tcPr>
                  <w:tcW w:type="dxa" w:w="2554"/>
                  <w:gridSpan w:val="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b/>
                    </w:rPr>
                    <w:t>五、拟投入本项目服务团队</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22</w:t>
                  </w:r>
                </w:p>
              </w:tc>
              <w:tc>
                <w:tcPr>
                  <w:tcW w:type="dxa" w:w="34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项目经理</w:t>
                  </w:r>
                </w:p>
              </w:tc>
              <w:tc>
                <w:tcPr>
                  <w:tcW w:type="dxa" w:w="1549"/>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提供项目整体统筹协调、指挥调度及项目日常管理汇报、现场制证及验证业务管理、人员管理、合同执行、审计配合等工作。</w:t>
                  </w:r>
                </w:p>
              </w:tc>
              <w:tc>
                <w:tcPr>
                  <w:tcW w:type="dxa" w:w="23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w:t>
                  </w:r>
                </w:p>
              </w:tc>
              <w:tc>
                <w:tcPr>
                  <w:tcW w:type="dxa" w:w="22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人</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23</w:t>
                  </w:r>
                </w:p>
              </w:tc>
              <w:tc>
                <w:tcPr>
                  <w:tcW w:type="dxa" w:w="34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制证人员</w:t>
                  </w: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驻场制证人员：含证件制作、证件激活及质检、证件分发等服务工作。</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≥6</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人</w:t>
                  </w:r>
                </w:p>
              </w:tc>
            </w:tr>
            <w:tr>
              <w:tc>
                <w:tcPr>
                  <w:tcW w:type="dxa" w:w="2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24</w:t>
                  </w:r>
                </w:p>
              </w:tc>
              <w:tc>
                <w:tcPr>
                  <w:tcW w:type="dxa" w:w="34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现场服务团队</w:t>
                  </w:r>
                </w:p>
              </w:tc>
              <w:tc>
                <w:tcPr>
                  <w:tcW w:type="dxa" w:w="15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驻场服务团队：含制证管理、仓储分发管理、证件查验管理、技术支持维护等服务保障工作。</w:t>
                  </w:r>
                </w:p>
              </w:tc>
              <w:tc>
                <w:tcPr>
                  <w:tcW w:type="dxa" w:w="2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≥15</w:t>
                  </w:r>
                </w:p>
              </w:tc>
              <w:tc>
                <w:tcPr>
                  <w:tcW w:type="dxa" w:w="2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19"/>
                    </w:rPr>
                    <w:t>人</w:t>
                  </w:r>
                </w:p>
              </w:tc>
            </w:tr>
          </w:tbl>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1、设计与制作技术要求</w:t>
            </w:r>
          </w:p>
          <w:p>
            <w:pPr>
              <w:pStyle w:val="null3"/>
            </w:pPr>
            <w:r>
              <w:rPr>
                <w:rFonts w:ascii="仿宋_GB2312" w:hAnsi="仿宋_GB2312" w:cs="仿宋_GB2312" w:eastAsia="仿宋_GB2312"/>
              </w:rPr>
              <w:t>（1）证件整体设计须融合陕西省、渭南市地域文化及本届运动会主题元素，版式统一、色彩协调、识别清晰，统一视觉形象，预留多重防伪工艺安装位置。</w:t>
            </w:r>
          </w:p>
          <w:p>
            <w:pPr>
              <w:pStyle w:val="null3"/>
            </w:pPr>
            <w:r>
              <w:rPr>
                <w:rFonts w:ascii="仿宋_GB2312" w:hAnsi="仿宋_GB2312" w:cs="仿宋_GB2312" w:eastAsia="仿宋_GB2312"/>
              </w:rPr>
              <w:t>（2）证件需采用耐磨、防水、耐撕扯环保材质，印刷清晰、色牢度高、不易褪色；各类物理防伪、数码防伪措施组合应用，具备防复制、防伪造、防篡改、可溯源能力。</w:t>
            </w:r>
          </w:p>
          <w:p>
            <w:pPr>
              <w:pStyle w:val="null3"/>
            </w:pPr>
            <w:r>
              <w:rPr>
                <w:rFonts w:ascii="仿宋_GB2312" w:hAnsi="仿宋_GB2312" w:cs="仿宋_GB2312" w:eastAsia="仿宋_GB2312"/>
              </w:rPr>
              <w:t>（3）所有人员证、车辆证、挂带、防伪标识、专项贴纸等配套物料，规格统一、做工精细，批量制作一致性强，满足高峰期大批量快速制证、分发使用。</w:t>
            </w:r>
          </w:p>
          <w:p>
            <w:pPr>
              <w:pStyle w:val="null3"/>
            </w:pPr>
            <w:r>
              <w:rPr>
                <w:rFonts w:ascii="仿宋_GB2312" w:hAnsi="仿宋_GB2312" w:cs="仿宋_GB2312" w:eastAsia="仿宋_GB2312"/>
              </w:rPr>
              <w:t>（4）所有设计方案、样品样证须经筹委会审核确认后方可批量生产，全程接受采购人质量监督。</w:t>
            </w:r>
          </w:p>
          <w:p>
            <w:pPr>
              <w:pStyle w:val="null3"/>
            </w:pPr>
            <w:r>
              <w:rPr>
                <w:rFonts w:ascii="仿宋_GB2312" w:hAnsi="仿宋_GB2312" w:cs="仿宋_GB2312" w:eastAsia="仿宋_GB2312"/>
              </w:rPr>
              <w:t>2、系统平台技术要求</w:t>
            </w:r>
          </w:p>
          <w:p>
            <w:pPr>
              <w:pStyle w:val="null3"/>
            </w:pPr>
            <w:r>
              <w:rPr>
                <w:rFonts w:ascii="仿宋_GB2312" w:hAnsi="仿宋_GB2312" w:cs="仿宋_GB2312" w:eastAsia="仿宋_GB2312"/>
              </w:rPr>
              <w:t>（1）证件管理系统、查验核验系统须为成熟稳定版本，架构合理、操作简洁，支持信息采集、审核、制证、芯片写入、发放、挂失、注销、查验、统计、归档全流程数字化管理。</w:t>
            </w:r>
          </w:p>
          <w:p>
            <w:pPr>
              <w:pStyle w:val="null3"/>
            </w:pPr>
            <w:r>
              <w:rPr>
                <w:rFonts w:ascii="仿宋_GB2312" w:hAnsi="仿宋_GB2312" w:cs="仿宋_GB2312" w:eastAsia="仿宋_GB2312"/>
              </w:rPr>
              <w:t>（2）支持离线操作与联网运行双模式，可适配赛场无网络、弱网络环境稳定使用；预留标准数据接口，可与赛事报名、安保指挥、综合管理等平台实现数据对接、同步共享。</w:t>
            </w:r>
          </w:p>
          <w:p>
            <w:pPr>
              <w:pStyle w:val="null3"/>
            </w:pPr>
            <w:r>
              <w:rPr>
                <w:rFonts w:ascii="仿宋_GB2312" w:hAnsi="仿宋_GB2312" w:cs="仿宋_GB2312" w:eastAsia="仿宋_GB2312"/>
              </w:rPr>
              <w:t>（3）系统具备完善权限管理、分级授权、操作日志、数据备份、异常告警功能，支持数据查重、批量导入导出、自定义报表统计，满足台账管理及审计要求。</w:t>
            </w:r>
          </w:p>
          <w:p>
            <w:pPr>
              <w:pStyle w:val="null3"/>
            </w:pPr>
            <w:r>
              <w:rPr>
                <w:rFonts w:ascii="仿宋_GB2312" w:hAnsi="仿宋_GB2312" w:cs="仿宋_GB2312" w:eastAsia="仿宋_GB2312"/>
              </w:rPr>
              <w:t>（4）芯片写入、证件电子化加密须采用安全加密算法，确保证卡信息唯一性、安全性，卡面信息与芯片内储信息完全一致。</w:t>
            </w:r>
          </w:p>
          <w:p>
            <w:pPr>
              <w:pStyle w:val="null3"/>
            </w:pPr>
            <w:r>
              <w:rPr>
                <w:rFonts w:ascii="仿宋_GB2312" w:hAnsi="仿宋_GB2312" w:cs="仿宋_GB2312" w:eastAsia="仿宋_GB2312"/>
              </w:rPr>
              <w:t>3、查验及配套设备技术要求</w:t>
            </w:r>
          </w:p>
          <w:p>
            <w:pPr>
              <w:pStyle w:val="null3"/>
            </w:pPr>
            <w:r>
              <w:rPr>
                <w:rFonts w:ascii="仿宋_GB2312" w:hAnsi="仿宋_GB2312" w:cs="仿宋_GB2312" w:eastAsia="仿宋_GB2312"/>
              </w:rPr>
              <w:t>（1）智能闸机、手持查验终端等核验设备，支持 RFID 芯片识读、二维码识别、人证合一比对、黑名单拦截、离线核验，识别快速、通行高效，适配室内外多场景全天候使用。</w:t>
            </w:r>
          </w:p>
          <w:p>
            <w:pPr>
              <w:pStyle w:val="null3"/>
            </w:pPr>
            <w:r>
              <w:rPr>
                <w:rFonts w:ascii="仿宋_GB2312" w:hAnsi="仿宋_GB2312" w:cs="仿宋_GB2312" w:eastAsia="仿宋_GB2312"/>
              </w:rPr>
              <w:t>（2）制证计算机、UV 打印机、激光打印机、塑封机、打孔机、芯片读写器等配套设备，性能满足长期连续高强度作业，运行稳定、故障率低，参数配置不低于服务清单约定标准。</w:t>
            </w:r>
          </w:p>
          <w:p>
            <w:pPr>
              <w:pStyle w:val="null3"/>
            </w:pPr>
            <w:r>
              <w:rPr>
                <w:rFonts w:ascii="仿宋_GB2312" w:hAnsi="仿宋_GB2312" w:cs="仿宋_GB2312" w:eastAsia="仿宋_GB2312"/>
              </w:rPr>
              <w:t>（3）所有硬件设备安装调试到位，免费提供安装、调试、操作培训、日常运维及故障维修；配备备用设备、备用耗材，保障突发故障快速替换，不影响制证及查验工作。</w:t>
            </w:r>
          </w:p>
          <w:p>
            <w:pPr>
              <w:pStyle w:val="null3"/>
            </w:pPr>
            <w:r>
              <w:rPr>
                <w:rFonts w:ascii="仿宋_GB2312" w:hAnsi="仿宋_GB2312" w:cs="仿宋_GB2312" w:eastAsia="仿宋_GB2312"/>
              </w:rPr>
              <w:t>4、服务实施与驻场保障要求</w:t>
            </w:r>
          </w:p>
          <w:p>
            <w:pPr>
              <w:pStyle w:val="null3"/>
            </w:pPr>
            <w:r>
              <w:rPr>
                <w:rFonts w:ascii="仿宋_GB2312" w:hAnsi="仿宋_GB2312" w:cs="仿宋_GB2312" w:eastAsia="仿宋_GB2312"/>
              </w:rPr>
              <w:t>（1）供应商须制定完整项目实施方案、进度计划、质量管控方案、保密方案、应急处置方案，全程统筹项目实施。</w:t>
            </w:r>
          </w:p>
          <w:p>
            <w:pPr>
              <w:pStyle w:val="null3"/>
            </w:pPr>
            <w:r>
              <w:rPr>
                <w:rFonts w:ascii="仿宋_GB2312" w:hAnsi="仿宋_GB2312" w:cs="仿宋_GB2312" w:eastAsia="仿宋_GB2312"/>
              </w:rPr>
              <w:t>（2）服务期间配备专职项目经理、专业技术人员、制证操作人员、现场运维保障人员，全程驻场值守，保障开闭幕式、重点赛事高峰期不间断服务。</w:t>
            </w:r>
          </w:p>
          <w:p>
            <w:pPr>
              <w:pStyle w:val="null3"/>
            </w:pPr>
            <w:r>
              <w:rPr>
                <w:rFonts w:ascii="仿宋_GB2312" w:hAnsi="仿宋_GB2312" w:cs="仿宋_GB2312" w:eastAsia="仿宋_GB2312"/>
              </w:rPr>
              <w:t>（3）应急响应：供应商需安排专业技术人员，在制证设备和验证设备发生故障后15分钟内响应，30分钟内完成故障修复，30分钟内不能完成故障修复的应立即更换备机，确保各类设备正常运行。针对各种可能的突发事件，供应商应提供完善合理的应急处置预案，提出完备的应急事件处置流程。</w:t>
            </w:r>
          </w:p>
          <w:p>
            <w:pPr>
              <w:pStyle w:val="null3"/>
            </w:pPr>
            <w:r>
              <w:rPr>
                <w:rFonts w:ascii="仿宋_GB2312" w:hAnsi="仿宋_GB2312" w:cs="仿宋_GB2312" w:eastAsia="仿宋_GB2312"/>
              </w:rPr>
              <w:t>（4）所有制证和验证服务所需的场地运行环境，设备安装环境以及电力、照明等使用环境由采购人提供。</w:t>
            </w:r>
          </w:p>
          <w:p>
            <w:pPr>
              <w:pStyle w:val="null3"/>
            </w:pPr>
            <w:r>
              <w:rPr>
                <w:rFonts w:ascii="仿宋_GB2312" w:hAnsi="仿宋_GB2312" w:cs="仿宋_GB2312" w:eastAsia="仿宋_GB2312"/>
              </w:rPr>
              <w:t>5、信息安全与保密要求</w:t>
            </w:r>
          </w:p>
          <w:p>
            <w:pPr>
              <w:pStyle w:val="null3"/>
            </w:pPr>
            <w:r>
              <w:rPr>
                <w:rFonts w:ascii="仿宋_GB2312" w:hAnsi="仿宋_GB2312" w:cs="仿宋_GB2312" w:eastAsia="仿宋_GB2312"/>
              </w:rPr>
              <w:t>（1）严格遵守《个人信息保护法》《网络安全法》及省市政务数据安全管理相关规定，建立人员信息、证件数据分级保密管理制度。</w:t>
            </w:r>
          </w:p>
          <w:p>
            <w:pPr>
              <w:pStyle w:val="null3"/>
            </w:pPr>
            <w:r>
              <w:rPr>
                <w:rFonts w:ascii="仿宋_GB2312" w:hAnsi="仿宋_GB2312" w:cs="仿宋_GB2312" w:eastAsia="仿宋_GB2312"/>
              </w:rPr>
              <w:t>（2）所有现场工作人员签订保密协议，严禁私自采集、留存、外泄、传播参赛人员及工作人员隐私信息；赛事结束后按要求完成数据梳理、移交、合规销毁，形成安全闭环。</w:t>
            </w:r>
          </w:p>
          <w:p>
            <w:pPr>
              <w:pStyle w:val="null3"/>
            </w:pPr>
            <w:r>
              <w:rPr>
                <w:rFonts w:ascii="仿宋_GB2312" w:hAnsi="仿宋_GB2312" w:cs="仿宋_GB2312" w:eastAsia="仿宋_GB2312"/>
              </w:rPr>
              <w:t>（3）证件管理工作涉及大量参会人员的身份信息，为严控信息泄露风险，供应商须建立必要的信息安全保护和保密措施，确保信息的采集、存储、传递和使用安全。供应商（含所有工作人员）须严格遵守采购人拟定的相关保密规定，确保制作证件的信息安全。</w:t>
            </w:r>
          </w:p>
          <w:p>
            <w:pPr>
              <w:pStyle w:val="null3"/>
            </w:pPr>
            <w:r>
              <w:rPr>
                <w:rFonts w:ascii="仿宋_GB2312" w:hAnsi="仿宋_GB2312" w:cs="仿宋_GB2312" w:eastAsia="仿宋_GB2312"/>
              </w:rPr>
              <w:t>6、标准规范依据</w:t>
            </w:r>
          </w:p>
          <w:p>
            <w:pPr>
              <w:pStyle w:val="null3"/>
            </w:pPr>
            <w:r>
              <w:rPr>
                <w:rFonts w:ascii="仿宋_GB2312" w:hAnsi="仿宋_GB2312" w:cs="仿宋_GB2312" w:eastAsia="仿宋_GB2312"/>
              </w:rPr>
              <w:t>本项目所有服务、货物、系统、施工及运维，须严格执行国家、行业、地方现行有效法律、法规、标准及规范，包含但不限于信息安全、电子证照、识别核验、印刷制作、网络安全等相关技术标准，确保项目合规落地、顺利验收。所用通用办公设备须严格落实政府采购节能、环境标志产品相关采购政策。</w:t>
            </w:r>
          </w:p>
          <w:p>
            <w:pPr>
              <w:pStyle w:val="null3"/>
            </w:pPr>
            <w:r>
              <w:rPr>
                <w:rFonts w:ascii="仿宋_GB2312" w:hAnsi="仿宋_GB2312" w:cs="仿宋_GB2312" w:eastAsia="仿宋_GB2312"/>
              </w:rPr>
              <w:t>7、其他要求</w:t>
            </w:r>
          </w:p>
          <w:p>
            <w:pPr>
              <w:pStyle w:val="null3"/>
            </w:pPr>
            <w:r>
              <w:rPr>
                <w:rFonts w:ascii="仿宋_GB2312" w:hAnsi="仿宋_GB2312" w:cs="仿宋_GB2312" w:eastAsia="仿宋_GB2312"/>
              </w:rPr>
              <w:t>（1）服务周期内全程免费运维、免费维修、免费技术升级及操作指导；服务期结束之日起的7个工作日内，供应商须完成所有设备的清场撤收工作，配合完成场地复原、资料归档、工作交接。</w:t>
            </w:r>
          </w:p>
          <w:p>
            <w:pPr>
              <w:pStyle w:val="null3"/>
              <w:jc w:val="both"/>
            </w:pPr>
            <w:r>
              <w:rPr>
                <w:rFonts w:ascii="仿宋_GB2312" w:hAnsi="仿宋_GB2312" w:cs="仿宋_GB2312" w:eastAsia="仿宋_GB2312"/>
              </w:rPr>
              <w:t>（2）设备使用期间非人为原因导致的设备维修及更换，均由供应商负责。</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562"/>
              <w:jc w:val="both"/>
            </w:pPr>
            <w:r>
              <w:rPr>
                <w:rFonts w:ascii="仿宋_GB2312" w:hAnsi="仿宋_GB2312" w:cs="仿宋_GB2312" w:eastAsia="仿宋_GB2312"/>
                <w:b/>
              </w:rPr>
              <w:t>四、验收标准</w:t>
            </w:r>
          </w:p>
          <w:p>
            <w:pPr>
              <w:pStyle w:val="null3"/>
              <w:jc w:val="both"/>
            </w:pPr>
            <w:r>
              <w:rPr>
                <w:rFonts w:ascii="仿宋_GB2312" w:hAnsi="仿宋_GB2312" w:cs="仿宋_GB2312" w:eastAsia="仿宋_GB2312"/>
              </w:rPr>
              <w:t>本项目验收严格按照采购文件、投标文件、合同约定、国家及行业现行标准、采购人使用要求进行，以整体功能完好、质量合格、运行稳定、资料齐全、服务达标为验收合格依据。</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人员配备合理满足本项目各项需求，职责分工明确。其中拟投入本项目服务团队项目经理1人，制证人员不少于6人，现场服务团队不少于15人。</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合同签订之日起至省第十八届运动会赛事及开闭幕式活动全部结束，完成全部证件管理、现场服务、资料归档及后续收尾工作为止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本项目验收严格按照采购文件、投标文件、合同约定、国家及行业现行标准、采购人使用要求进行，以整体功能完好、质量合格、运行稳定、资料齐全、服务达标为验收合格依据。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合同签订生效后15个工作日内，甲方向乙方支付合同总价款的40%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正式赛事第一场比赛开赛15个工作日内，支付合同总价款的30%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本次赛事全部结束后15个工作日内，乙方须向采购人提交完整项目验收资料及验收报告，经采购人验收合格后，结合实际制证数量、按照中标报价明细表对应单价据实结算剩余全部费用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的相关条款和本合同约定，乙方未全面履行合同义务或拒绝继续履行合同义务，造成活动延误或给甲方带来经济损失，甲方有权单方终止合同，并向乙方索赔。甲方违约的，应赔偿乙方的直接经济损失。在履行本合同期间若发生争议，甲、乙双方应友好协商解决。若协商不成，任何一方均可向甲方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报价为投标人响应本项目要求的全部工作内容的价格体现，包括投标人完成本项目所需的人工费、设备费、管理费、利润、税金及所有相关的一切费用。在提供服务的过程中的任何遗漏，均由中标供应商免费提供，采购人将不再支付任何费用。 2、采购标的对应的中小企业划分标准所属行业为软件和信息技术服务业。软件和信息技术服务业的划型标准为：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3、本项目落实政府采购政策：（1）《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陕西省财政厅关于进一步加强政府绿色采购有关问题的通知》（陕财办采〔2021〕29号）、《商品包装政府采购需求标准（试行）》和《快递包装政府采购需求标准（试行）》（财办库〔2020〕123号）；（3）国务院办公厅《关于在政府采购中实施本国产品标准及相关政策的通知》（国办发〔2025〕34号）、财政部 工业和信息化部《关于贯彻落实&lt;国务院办公厅关于在政府采购中实施本国产品标准及相关政策的通知&gt;的意见》（财库〔2025〕30号）、《陕西省财政厅关于在政府采购活动中实施本国产品标准及相关政策的通知》（陕财办采〔2026〕2号）；（4）《财政部 农业农村部 国家乡村振兴局关于运用政府采购政策支持乡村产业振兴的通知》（财库〔2021〕19号）、《财政部 农业农村部 国家乡村振兴局 中华全国供销合作总社关于印发&lt;关于深入开展政府采购脱贫地区农副产品工作推进乡村产业振兴的实施意见&gt;的通知》（财库〔2021〕20号）；（5）《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工业和信息化部办公厅关于印发&lt;政府采购支持绿色建材促进建筑品质提升政策项目实施指南&gt;的通知》（财办库〔2023〕52号）；（6）《财政部 国家发展改革委 信息产业部关于印发无线局域网产品政府采购实施意见的通知》（财库〔2005〕366号）、《国家互联网信息办公室 工业和信息化部 公安部 财政部 国家认证认可监督管理委员会关于调整网络安全专用产品安全管理有关事项的公告》（2023年第1号）、《数据库政府采购需求标准（2023年版）》（财库〔2023〕35号）；（7）《陕西省财政厅关于加快推进我省中小企业政府采购信用融资工作的通知》（陕财办采〔2020〕15号）、《陕西省财政厅关于印发&lt;陕西省中小企业政府采购信用融资办法&gt;的通知》（陕财办采〔2018〕23号）；（8）其他需要落实的政府采购政策。4、中标（成交）供应商在中标（成交）结果公告发布后3个工作日内提供叁套纸质响应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（1）投标人应具有独立承担民事责任的能力，提供合法有效的营业执照；投标人需在项目电子化交易系统中按要求上传相应证明文件并进行电子签章。 （2）投标人提供2024年度经审计的财务审计报告；或提供投标文件递交截止时间前三个月内基本存款账户银行出具的资信证明及基本存款账户银行相关证明资料；投标人需在项目电子化交易系统中按要求上传相应证明文件并进行电子签章。 （3）具有履行合同所必需的设备和专业技术能力书面声明函；投标人需在项目电子化交易系统中按要求上传相应证明文件并进行电子签章。 （4）投标人提供在本项目投标文件递交截止时间前六个月内任意一个月的依法缴纳税收和社会保障资金的证明（依法免税或不需要缴纳社会保障资金的投标人，应提供相应文件证明其依法免税或不需要缴纳社会保障资金）；投标人需在项目电子化交易系统中按要求上传相应证明文件并进行电子签章。 （5）参加政府采购活动前3年内在经营活动中没有重大违法记录的书面声明；投标人需在项目电子化交易系统中按要求上传相应证明文件并进行电子签章。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法定代表人或授权代表身份证明</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定代表人身份证明及身份证复印件，并与营业执照上信息一致；法定代表人授权代表参加投标的，须出具法定代表人授权书（附法定代表人、被授权人身份证复印件）及被授权人在本单位近3个月内任意一个月缴纳的养老保险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投标人不得在“信用中国”网站(http://www.creditchina.gov.cn)被列入失信被执行人、重大税收违法失信主体；不得在“中国政府采购网” (http://www.ccgp.gov.cn) 被列入政府采购严重违法失信行为记录名单。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投标人须提供《非联合体投标声明函》；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投标人不得存在下列情形之一</w:t>
            </w:r>
          </w:p>
        </w:tc>
        <w:tc>
          <w:tcPr>
            <w:tcW w:type="dxa" w:w="3322"/>
          </w:tcPr>
          <w:p>
            <w:pPr>
              <w:pStyle w:val="null3"/>
            </w:pPr>
            <w:r>
              <w:rPr>
                <w:rFonts w:ascii="仿宋_GB2312" w:hAnsi="仿宋_GB2312" w:cs="仿宋_GB2312" w:eastAsia="仿宋_GB2312"/>
              </w:rPr>
              <w:t>①单位负责人为同一人或者存在控股、管理关系的不同单位，不得参加同一合同项下的政府采购活动； ②为本项目提供整体设计、规范编制或者项目管理、监理、检测等服务的供应商，不得再参加本项目的采购活动。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投标文件签署、盖章均按磋商文件要求签字、盖章</w:t>
            </w:r>
          </w:p>
        </w:tc>
        <w:tc>
          <w:tcPr>
            <w:tcW w:type="dxa" w:w="1661"/>
          </w:tcPr>
          <w:p>
            <w:pPr>
              <w:pStyle w:val="null3"/>
            </w:pPr>
            <w:r>
              <w:rPr>
                <w:rFonts w:ascii="仿宋_GB2312" w:hAnsi="仿宋_GB2312" w:cs="仿宋_GB2312" w:eastAsia="仿宋_GB2312"/>
              </w:rPr>
              <w:t>开标一览表 服务内容及服务邀请应答表 中小企业声明函 商务应答表 资格证明文件.docx 分项报价表.docx 法定代表人身份证明书.docx 投标函 残疾人福利性单位声明函 标的清单 投标文件封面 法定代表人授权委托书.docx 服务方案.docx 陕西省政府采购供应商拒绝政府采购领域商业贿赂承诺书.docx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货币单位符合招标文件要求，报价符合招标文件填报要求，报价唯一，且没有超过采购预算或限价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符合招标文件规定</w:t>
            </w:r>
          </w:p>
        </w:tc>
        <w:tc>
          <w:tcPr>
            <w:tcW w:type="dxa" w:w="1661"/>
          </w:tcPr>
          <w:p>
            <w:pPr>
              <w:pStyle w:val="null3"/>
            </w:pPr>
            <w:r>
              <w:rPr>
                <w:rFonts w:ascii="仿宋_GB2312" w:hAnsi="仿宋_GB2312" w:cs="仿宋_GB2312" w:eastAsia="仿宋_GB2312"/>
              </w:rPr>
              <w:t>开标一览表 分项报价表.docx 服务内容及服务邀请应答表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对招标文件的响应</w:t>
            </w:r>
          </w:p>
        </w:tc>
        <w:tc>
          <w:tcPr>
            <w:tcW w:type="dxa" w:w="3322"/>
          </w:tcPr>
          <w:p>
            <w:pPr>
              <w:pStyle w:val="null3"/>
            </w:pPr>
            <w:r>
              <w:rPr>
                <w:rFonts w:ascii="仿宋_GB2312" w:hAnsi="仿宋_GB2312" w:cs="仿宋_GB2312" w:eastAsia="仿宋_GB2312"/>
              </w:rPr>
              <w:t>完全理解并接受对合格供应商、合格服务的要求，实质性要求完全响应且没有负偏离，不能有任何采购人不能接受的附加条件</w:t>
            </w:r>
          </w:p>
        </w:tc>
        <w:tc>
          <w:tcPr>
            <w:tcW w:type="dxa" w:w="1661"/>
          </w:tcPr>
          <w:p>
            <w:pPr>
              <w:pStyle w:val="null3"/>
            </w:pPr>
            <w:r>
              <w:rPr>
                <w:rFonts w:ascii="仿宋_GB2312" w:hAnsi="仿宋_GB2312" w:cs="仿宋_GB2312" w:eastAsia="仿宋_GB2312"/>
              </w:rPr>
              <w:t>开标一览表 分项报价表.docx 服务内容及服务邀请应答表 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未出现招标文件规定的无效响应情形</w:t>
            </w:r>
          </w:p>
        </w:tc>
        <w:tc>
          <w:tcPr>
            <w:tcW w:type="dxa" w:w="1661"/>
          </w:tcPr>
          <w:p>
            <w:pPr>
              <w:pStyle w:val="null3"/>
            </w:pPr>
            <w:r>
              <w:rPr>
                <w:rFonts w:ascii="仿宋_GB2312" w:hAnsi="仿宋_GB2312" w:cs="仿宋_GB2312" w:eastAsia="仿宋_GB2312"/>
              </w:rPr>
              <w:t>开标一览表 服务内容及服务邀请应答表 中小企业声明函 商务应答表 资格证明文件.docx 分项报价表.docx 法定代表人身份证明书.docx 投标函 残疾人福利性单位声明函 标的清单 投标文件封面 法定代表人授权委托书.docx 服务方案.docx 陕西省政府采购供应商拒绝政府采购领域商业贿赂承诺书.docx 监狱企业的证明文件 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服务内容及服务邀请应答表 中小企业声明函 商务应答表 资格证明文件.docx 分项报价表.docx 法定代表人身份证明书.docx 投标函 残疾人福利性单位声明函 标的清单 投标文件封面 法定代表人授权委托书.docx 服务方案.docx 陕西省政府采购供应商拒绝政府采购领域商业贿赂承诺书.docx 监狱企业的证明文件 投标保证金.docx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按照招标文件的规定提交投标保证金（包括形式及金额）</w:t>
            </w:r>
          </w:p>
        </w:tc>
        <w:tc>
          <w:tcPr>
            <w:tcW w:type="dxa" w:w="1661"/>
          </w:tcPr>
          <w:p>
            <w:pPr>
              <w:pStyle w:val="null3"/>
            </w:pPr>
            <w:r>
              <w:rPr>
                <w:rFonts w:ascii="仿宋_GB2312" w:hAnsi="仿宋_GB2312" w:cs="仿宋_GB2312" w:eastAsia="仿宋_GB2312"/>
              </w:rPr>
              <w:t>投标保证金.docx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总体实施方案包含但不限于①项目需求理解；②项目总体设计及规划；③服务进度计划；④项目质量控制保障措施。以上4项内容每项3分，切合本项目实际情况及采购要求，合理、可行、无缺陷得12分；评审内容缺一项扣3分；每项内容中每有一处存在缺陷的扣1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证件中心运营服务方案</w:t>
            </w:r>
          </w:p>
        </w:tc>
        <w:tc>
          <w:tcPr>
            <w:tcW w:type="dxa" w:w="2492"/>
          </w:tcPr>
          <w:p>
            <w:pPr>
              <w:pStyle w:val="null3"/>
            </w:pPr>
            <w:r>
              <w:rPr>
                <w:rFonts w:ascii="仿宋_GB2312" w:hAnsi="仿宋_GB2312" w:cs="仿宋_GB2312" w:eastAsia="仿宋_GB2312"/>
              </w:rPr>
              <w:t>证件中心运营服务方案包含但不限于①证件样式及防伪设计；②证件管理系统搭建；③设施设备及网络设计；④证件制作及发放; ⑤信息安全保障措施；⑥数据移交及销毁。以上6项内容每项2分，切合本项目实际情况及采购要求，合理、可行、无缺陷得12分；评审内容缺一项扣2分；每项内容中每有一处存在缺陷的扣0.5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证件查验服务实施方案</w:t>
            </w:r>
          </w:p>
        </w:tc>
        <w:tc>
          <w:tcPr>
            <w:tcW w:type="dxa" w:w="2492"/>
          </w:tcPr>
          <w:p>
            <w:pPr>
              <w:pStyle w:val="null3"/>
            </w:pPr>
            <w:r>
              <w:rPr>
                <w:rFonts w:ascii="仿宋_GB2312" w:hAnsi="仿宋_GB2312" w:cs="仿宋_GB2312" w:eastAsia="仿宋_GB2312"/>
              </w:rPr>
              <w:t>证件查验服务实施方案包含但不限于①硬件投入及部署设计；②证件查验组织管理；③证件查验流程及技术保障。以上3项内容每项3分，切合本项目实际情况及采购要求，合理、可行、无缺陷得9分；评审内容缺一项扣3分；每项内容中每有一处存在缺陷的扣1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信息安全及保密管理方案</w:t>
            </w:r>
          </w:p>
        </w:tc>
        <w:tc>
          <w:tcPr>
            <w:tcW w:type="dxa" w:w="2492"/>
          </w:tcPr>
          <w:p>
            <w:pPr>
              <w:pStyle w:val="null3"/>
            </w:pPr>
            <w:r>
              <w:rPr>
                <w:rFonts w:ascii="仿宋_GB2312" w:hAnsi="仿宋_GB2312" w:cs="仿宋_GB2312" w:eastAsia="仿宋_GB2312"/>
              </w:rPr>
              <w:t>信息安全保密方案包含但不限于①人员信息保护措施；②数据管控措施；③保密措施、④赛后数据销毁及安全闭环措施。以上4项内容每项2分，切合本项目实际情况及采购要求，合理、可行、无缺陷得8分；评审内容缺一项扣2分；每项内容中每有一处存在缺陷的扣0.5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设备运维、应急保障方案</w:t>
            </w:r>
          </w:p>
        </w:tc>
        <w:tc>
          <w:tcPr>
            <w:tcW w:type="dxa" w:w="2492"/>
          </w:tcPr>
          <w:p>
            <w:pPr>
              <w:pStyle w:val="null3"/>
            </w:pPr>
            <w:r>
              <w:rPr>
                <w:rFonts w:ascii="仿宋_GB2312" w:hAnsi="仿宋_GB2312" w:cs="仿宋_GB2312" w:eastAsia="仿宋_GB2312"/>
              </w:rPr>
              <w:t>设备运维、应急保障方案包含但不限于①设备安装调试、培训、日常运维；②故障响应时限、备用设备保障；③突发事件处置预案。以上3项内容每项2分，切合本项目实际情况及采购要求，合理、可行、无缺陷得6分；评审内容缺一项扣2分；每项内容中每有一处存在缺陷的扣0.5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包含但不限于：①售后服务响应时间和售后服务方案；②售后服务机构与人员配置。以上2项内容每项2分，切合本项目实际情况及采购要求，合理、可行、无缺陷得4分；评审内容缺一项扣2分；每项内容中每有一处存在缺陷的扣0.5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包含但不限于：①岗位人员配置；②岗位权责、管理制度及在岗保障措施。以上2项内容每项2分，切合本项目实际情况及采购要求，合理、可行、无缺陷得4分；评审内容缺一项扣2分；每项内容中每有一处存在缺陷的扣0.5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团队人员从业经验</w:t>
            </w:r>
          </w:p>
        </w:tc>
        <w:tc>
          <w:tcPr>
            <w:tcW w:type="dxa" w:w="2492"/>
          </w:tcPr>
          <w:p>
            <w:pPr>
              <w:pStyle w:val="null3"/>
            </w:pPr>
            <w:r>
              <w:rPr>
                <w:rFonts w:ascii="仿宋_GB2312" w:hAnsi="仿宋_GB2312" w:cs="仿宋_GB2312" w:eastAsia="仿宋_GB2312"/>
              </w:rPr>
              <w:t>投标人配备的服务团队（包括管理、设计、制证、查验等）中，人员具备省级及以上综合性体育赛事或国家级及以上单项体育赛事证件管理工作经验的，每人得1分，本项最高得8分。 注：团队人员须为本单位在册人员，需提供人员在本单位近3个月内任意一个月缴纳的养老保险证明；相关工作经历或任职佐证材料；资料不全、不符或未提供的不计分，同一人员不重复计分。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投标人为本项目投入的制证、查验、配套运维等核心设备，提供自有设备权属证明或合法使用证明材料，每提供一个有效设备证明得 0.5 分，最多得 4 分。 注：未提供有效证明材料的，本项不得分。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2021年1月1日至今（以合同签订日期为准），投标人承接过类似省级及以上综合性体育赛事或国家级及以上单项体育赛事证件管理、制证查验服务业绩，每提供一个业绩得2.5分，最高得10分； 注：以投标文件中加盖公章的合同复印件或扫描件为准，合同需至少包含合同首页、服务内容页、签署页，否则该业绩无效。</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知识产权</w:t>
            </w:r>
          </w:p>
        </w:tc>
        <w:tc>
          <w:tcPr>
            <w:tcW w:type="dxa" w:w="2492"/>
          </w:tcPr>
          <w:p>
            <w:pPr>
              <w:pStyle w:val="null3"/>
            </w:pPr>
            <w:r>
              <w:rPr>
                <w:rFonts w:ascii="仿宋_GB2312" w:hAnsi="仿宋_GB2312" w:cs="仿宋_GB2312" w:eastAsia="仿宋_GB2312"/>
              </w:rPr>
              <w:t>投标人具有与本项目相关知识产权，包含：①证件管理类技术、②证件制作类技术、③证件查验类技术。每提供一类有效知识产权证明材料得1分，本项最高得3 分。 注：须提供相应有效证明材料复印件并加盖投标人公章，提供无关知识产权或未提供的不得分。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投标报价）×价格分值（即20%）×100 注：本项目为专门面向中小企业采购项目，不再执行价格评审优惠的扶持政策。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