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版本号：ZMZB2026-CS101020260614001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美原镇文化广场及基础设施提升改造项目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ZMZB2026-CS1010</w:t>
      </w:r>
      <w:r>
        <w:br/>
      </w:r>
      <w:r>
        <w:br/>
      </w:r>
      <w:r>
        <w:br/>
      </w:r>
    </w:p>
    <w:p>
      <w:pPr>
        <w:pStyle w:val="null3"/>
        <w:jc w:val="center"/>
        <w:outlineLvl w:val="2"/>
      </w:pPr>
      <w:r>
        <w:rPr>
          <w:rFonts w:ascii="仿宋_GB2312" w:hAnsi="仿宋_GB2312" w:cs="仿宋_GB2312" w:eastAsia="仿宋_GB2312"/>
          <w:sz w:val="28"/>
          <w:b/>
        </w:rPr>
        <w:t>富平县美原镇人民政府（本级）</w:t>
      </w:r>
    </w:p>
    <w:p>
      <w:pPr>
        <w:pStyle w:val="null3"/>
        <w:jc w:val="center"/>
        <w:outlineLvl w:val="2"/>
      </w:pPr>
      <w:r>
        <w:rPr>
          <w:rFonts w:ascii="仿宋_GB2312" w:hAnsi="仿宋_GB2312" w:cs="仿宋_GB2312" w:eastAsia="仿宋_GB2312"/>
          <w:sz w:val="28"/>
          <w:b/>
        </w:rPr>
        <w:t>陕西至铭招标代理有限公司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陕西至铭招标代理有限公司</w:t>
      </w:r>
      <w:r>
        <w:rPr>
          <w:rFonts w:ascii="仿宋_GB2312" w:hAnsi="仿宋_GB2312" w:cs="仿宋_GB2312" w:eastAsia="仿宋_GB2312"/>
        </w:rPr>
        <w:t>（以下简称“代理机构”）受</w:t>
      </w:r>
      <w:r>
        <w:rPr>
          <w:rFonts w:ascii="仿宋_GB2312" w:hAnsi="仿宋_GB2312" w:cs="仿宋_GB2312" w:eastAsia="仿宋_GB2312"/>
        </w:rPr>
        <w:t>富平县美原镇人民政府（本级）</w:t>
      </w:r>
      <w:r>
        <w:rPr>
          <w:rFonts w:ascii="仿宋_GB2312" w:hAnsi="仿宋_GB2312" w:cs="仿宋_GB2312" w:eastAsia="仿宋_GB2312"/>
        </w:rPr>
        <w:t>委托，拟对</w:t>
      </w:r>
      <w:r>
        <w:rPr>
          <w:rFonts w:ascii="仿宋_GB2312" w:hAnsi="仿宋_GB2312" w:cs="仿宋_GB2312" w:eastAsia="仿宋_GB2312"/>
        </w:rPr>
        <w:t>美原镇文化广场及基础设施提升改造项目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ZMZB2026-CS1010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美原镇文化广场及基础设施提升改造项目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八联村巷道硬化3360平方米；八联村文化广场提升改造700平方米，配套健身器材及绿化。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采购包1（美原镇文化广场及基础设施提升改造项目）：属于专门面向中小企业采购。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13、面向中小企业采购政策落实情况：本项目专门面向中小企业采购，供应商须提供《中小企业声明函》。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富平县美原镇人民政府（本级）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富平县美原镇人民政府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15129625728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陕西至铭招标代理有限公司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陕西省西安市莲湖区南二环西段九座花园13楼1304室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17792357575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不计入工程造价，按照《国家发展改革委办公厅关于招标代理服务收费有关问题的通知》(发改办价格(2003)857号)规定向成交供应商收取。造价咨询服务费按(陕价行发[2014] 88号文件)计算收取，不计入工程造价，由成交供应商支付。若本次招标失败(非代理机构原因)，招标代理服务费和造价咨询服务费由采购人支付。具体金额详见中标(成交)结果公告，在领取中标(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富平县美原镇人民政府（本级）</w:t>
      </w:r>
      <w:r>
        <w:rPr>
          <w:rFonts w:ascii="仿宋_GB2312" w:hAnsi="仿宋_GB2312" w:cs="仿宋_GB2312" w:eastAsia="仿宋_GB2312"/>
        </w:rPr>
        <w:t>和</w:t>
      </w:r>
      <w:r>
        <w:rPr>
          <w:rFonts w:ascii="仿宋_GB2312" w:hAnsi="仿宋_GB2312" w:cs="仿宋_GB2312" w:eastAsia="仿宋_GB2312"/>
        </w:rPr>
        <w:t>陕西至铭招标代理有限公司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富平县美原镇人民政府（本级）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陕西至铭招标代理有限公司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富平县美原镇人民政府（本级）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陕西至铭招标代理有限公司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陕西至铭招标代理有限公司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陕西至铭招标代理有限公司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陕西至铭招标代理有限公司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联系电话：17792357575</w:t>
      </w:r>
    </w:p>
    <w:p>
      <w:pPr>
        <w:pStyle w:val="null3"/>
      </w:pPr>
      <w:r>
        <w:rPr>
          <w:rFonts w:ascii="仿宋_GB2312" w:hAnsi="仿宋_GB2312" w:cs="仿宋_GB2312" w:eastAsia="仿宋_GB2312"/>
        </w:rPr>
        <w:t>地址：陕西省渭南市富平县城关街道昌平大街云创大厦812会议室</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698,590.18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美原镇文化广场及基础设施提升改造项目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标的名称：美原镇文化广场及基础设施提升改造项目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采购包预算金额（元）</w:t>
            </w:r>
            <w:r>
              <w:rPr>
                <w:rFonts w:ascii="仿宋_GB2312" w:hAnsi="仿宋_GB2312" w:cs="仿宋_GB2312" w:eastAsia="仿宋_GB2312"/>
              </w:rPr>
              <w:t xml:space="preserve">: </w:t>
            </w:r>
            <w:r>
              <w:rPr>
                <w:rFonts w:ascii="仿宋_GB2312" w:hAnsi="仿宋_GB2312" w:cs="仿宋_GB2312" w:eastAsia="仿宋_GB2312"/>
              </w:rPr>
              <w:t>700000.00</w:t>
            </w:r>
          </w:p>
          <w:p>
            <w:pPr>
              <w:pStyle w:val="null3"/>
            </w:pPr>
            <w:r>
              <w:rPr>
                <w:rFonts w:ascii="仿宋_GB2312" w:hAnsi="仿宋_GB2312" w:cs="仿宋_GB2312" w:eastAsia="仿宋_GB2312"/>
              </w:rPr>
              <w:t>采购包最高限价（元）</w:t>
            </w:r>
            <w:r>
              <w:rPr>
                <w:rFonts w:ascii="仿宋_GB2312" w:hAnsi="仿宋_GB2312" w:cs="仿宋_GB2312" w:eastAsia="仿宋_GB2312"/>
              </w:rPr>
              <w:t xml:space="preserve">: </w:t>
            </w:r>
            <w:r>
              <w:rPr>
                <w:rFonts w:ascii="仿宋_GB2312" w:hAnsi="仿宋_GB2312" w:cs="仿宋_GB2312" w:eastAsia="仿宋_GB2312"/>
              </w:rPr>
              <w:t>698590.18</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标的金额</w:t>
                  </w:r>
                  <w:r>
                    <w:rPr>
                      <w:rFonts w:ascii="仿宋_GB2312" w:hAnsi="仿宋_GB2312" w:cs="仿宋_GB2312" w:eastAsia="仿宋_GB2312"/>
                      <w:sz w:val="19"/>
                    </w:rPr>
                    <w:t>（元）</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计量单位</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所属行业</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美原镇文化广场及基础设施提升改造项目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1.00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700000.00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建筑业</w:t>
                  </w:r>
                </w:p>
              </w:tc>
            </w:tr>
          </w:tbl>
          <w:p>
            <w:pPr>
              <w:pStyle w:val="null3"/>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美原镇文化广场及基础设施提升改造项目</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4"/>
                    </w:rPr>
                    <w:t>编制说明</w:t>
                  </w:r>
                </w:p>
                <w:p>
                  <w:pPr>
                    <w:pStyle w:val="null3"/>
                    <w:spacing w:before="150" w:after="150"/>
                    <w:jc w:val="both"/>
                  </w:pPr>
                  <w:r>
                    <w:rPr>
                      <w:rFonts w:ascii="仿宋_GB2312" w:hAnsi="仿宋_GB2312" w:cs="仿宋_GB2312" w:eastAsia="仿宋_GB2312"/>
                      <w:sz w:val="24"/>
                      <w:color w:val="000000"/>
                    </w:rPr>
                    <w:t>一、工程概况：</w:t>
                  </w:r>
                </w:p>
                <w:p>
                  <w:pPr>
                    <w:pStyle w:val="null3"/>
                    <w:spacing w:before="150" w:after="150"/>
                    <w:ind w:firstLine="480"/>
                    <w:jc w:val="both"/>
                  </w:pPr>
                  <w:r>
                    <w:rPr>
                      <w:rFonts w:ascii="仿宋_GB2312" w:hAnsi="仿宋_GB2312" w:cs="仿宋_GB2312" w:eastAsia="仿宋_GB2312"/>
                      <w:sz w:val="24"/>
                      <w:color w:val="000000"/>
                    </w:rPr>
                    <w:t>美原镇文化广场及基础设施提升改造项目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，主要建设内容为</w:t>
                  </w:r>
                  <w:r>
                    <w:rPr>
                      <w:rFonts w:ascii="仿宋_GB2312" w:hAnsi="仿宋_GB2312" w:cs="仿宋_GB2312" w:eastAsia="仿宋_GB2312"/>
                      <w:sz w:val="24"/>
                      <w:color w:val="000000"/>
                    </w:rPr>
                    <w:t>:</w:t>
                  </w:r>
                  <w:r>
                    <w:rPr>
                      <w:rFonts w:ascii="仿宋_GB2312" w:hAnsi="仿宋_GB2312" w:cs="仿宋_GB2312" w:eastAsia="仿宋_GB2312"/>
                      <w:sz w:val="24"/>
                      <w:color w:val="000000"/>
                    </w:rPr>
                    <w:t>八联村巷道硬化</w:t>
                  </w:r>
                  <w:r>
                    <w:rPr>
                      <w:rFonts w:ascii="仿宋_GB2312" w:hAnsi="仿宋_GB2312" w:cs="仿宋_GB2312" w:eastAsia="仿宋_GB2312"/>
                      <w:sz w:val="24"/>
                      <w:color w:val="000000"/>
                    </w:rPr>
                    <w:t>3360平方米；八联村文化广场提升改造700平方米，配套健身器材及绿化。</w:t>
                  </w:r>
                </w:p>
                <w:p>
                  <w:pPr>
                    <w:pStyle w:val="null3"/>
                    <w:spacing w:before="150" w:after="150"/>
                    <w:jc w:val="both"/>
                  </w:pPr>
                  <w:r>
                    <w:rPr>
                      <w:rFonts w:ascii="仿宋_GB2312" w:hAnsi="仿宋_GB2312" w:cs="仿宋_GB2312" w:eastAsia="仿宋_GB2312"/>
                      <w:sz w:val="24"/>
                      <w:color w:val="000000"/>
                    </w:rPr>
                    <w:t>二、编制依据：</w:t>
                  </w:r>
                </w:p>
                <w:p>
                  <w:pPr>
                    <w:pStyle w:val="null3"/>
                    <w:spacing w:before="150" w:after="150"/>
                    <w:ind w:firstLine="480"/>
                    <w:jc w:val="both"/>
                  </w:pPr>
                  <w:r>
                    <w:rPr>
                      <w:rFonts w:ascii="仿宋_GB2312" w:hAnsi="仿宋_GB2312" w:cs="仿宋_GB2312" w:eastAsia="仿宋_GB2312"/>
                      <w:sz w:val="24"/>
                      <w:color w:val="000000"/>
                    </w:rPr>
                    <w:t>1. 施工设计图纸及相关资料；</w:t>
                  </w:r>
                </w:p>
                <w:p>
                  <w:pPr>
                    <w:pStyle w:val="null3"/>
                    <w:spacing w:before="150" w:after="150"/>
                    <w:ind w:firstLine="480"/>
                    <w:jc w:val="both"/>
                  </w:pPr>
                  <w:r>
                    <w:rPr>
                      <w:rFonts w:ascii="仿宋_GB2312" w:hAnsi="仿宋_GB2312" w:cs="仿宋_GB2312" w:eastAsia="仿宋_GB2312"/>
                      <w:sz w:val="24"/>
                      <w:color w:val="000000"/>
                    </w:rPr>
                    <w:t>2.《陕西省建设工程工程量清单计价标准及计算标准（2025）》；</w:t>
                  </w:r>
                </w:p>
                <w:p>
                  <w:pPr>
                    <w:pStyle w:val="null3"/>
                    <w:spacing w:before="150" w:after="150"/>
                    <w:ind w:firstLine="480"/>
                    <w:jc w:val="both"/>
                  </w:pPr>
                  <w:r>
                    <w:rPr>
                      <w:rFonts w:ascii="仿宋_GB2312" w:hAnsi="仿宋_GB2312" w:cs="仿宋_GB2312" w:eastAsia="仿宋_GB2312"/>
                      <w:sz w:val="24"/>
                      <w:color w:val="000000"/>
                    </w:rPr>
                    <w:t>3.《陕西省房屋建筑与装饰工程消耗量定额（2025）》；</w:t>
                  </w:r>
                </w:p>
                <w:p>
                  <w:pPr>
                    <w:pStyle w:val="null3"/>
                    <w:spacing w:before="150" w:after="150"/>
                    <w:ind w:firstLine="480"/>
                    <w:jc w:val="both"/>
                  </w:pPr>
                  <w:r>
                    <w:rPr>
                      <w:rFonts w:ascii="仿宋_GB2312" w:hAnsi="仿宋_GB2312" w:cs="仿宋_GB2312" w:eastAsia="仿宋_GB2312"/>
                      <w:sz w:val="24"/>
                      <w:color w:val="000000"/>
                    </w:rPr>
                    <w:t>4.《陕西省市政工程消耗量定额（2025）》；</w:t>
                  </w:r>
                </w:p>
                <w:p>
                  <w:pPr>
                    <w:pStyle w:val="null3"/>
                    <w:spacing w:before="150" w:after="150"/>
                    <w:ind w:firstLine="480"/>
                    <w:jc w:val="both"/>
                  </w:pPr>
                  <w:r>
                    <w:rPr>
                      <w:rFonts w:ascii="仿宋_GB2312" w:hAnsi="仿宋_GB2312" w:cs="仿宋_GB2312" w:eastAsia="仿宋_GB2312"/>
                      <w:sz w:val="24"/>
                      <w:color w:val="000000"/>
                    </w:rPr>
                    <w:t>5.《陕西省通用安装工程消耗量定额（2025）》；</w:t>
                  </w:r>
                </w:p>
                <w:p>
                  <w:pPr>
                    <w:pStyle w:val="null3"/>
                    <w:spacing w:before="150" w:after="150"/>
                    <w:ind w:firstLine="480"/>
                    <w:jc w:val="both"/>
                  </w:pPr>
                  <w:r>
                    <w:rPr>
                      <w:rFonts w:ascii="仿宋_GB2312" w:hAnsi="仿宋_GB2312" w:cs="仿宋_GB2312" w:eastAsia="仿宋_GB2312"/>
                      <w:sz w:val="24"/>
                      <w:color w:val="000000"/>
                    </w:rPr>
                    <w:t>6.《陕西省房屋建筑与装饰工程基价表（2025）》；</w:t>
                  </w:r>
                </w:p>
                <w:p>
                  <w:pPr>
                    <w:pStyle w:val="null3"/>
                    <w:spacing w:before="150" w:after="150"/>
                    <w:ind w:firstLine="480"/>
                    <w:jc w:val="both"/>
                  </w:pPr>
                  <w:r>
                    <w:rPr>
                      <w:rFonts w:ascii="仿宋_GB2312" w:hAnsi="仿宋_GB2312" w:cs="仿宋_GB2312" w:eastAsia="仿宋_GB2312"/>
                      <w:sz w:val="24"/>
                      <w:color w:val="000000"/>
                    </w:rPr>
                    <w:t>7.《陕西省市政工程基价表（2025）》；</w:t>
                  </w:r>
                </w:p>
                <w:p>
                  <w:pPr>
                    <w:pStyle w:val="null3"/>
                    <w:spacing w:before="150" w:after="150"/>
                    <w:ind w:firstLine="480"/>
                    <w:jc w:val="both"/>
                  </w:pPr>
                  <w:r>
                    <w:rPr>
                      <w:rFonts w:ascii="仿宋_GB2312" w:hAnsi="仿宋_GB2312" w:cs="仿宋_GB2312" w:eastAsia="仿宋_GB2312"/>
                      <w:sz w:val="24"/>
                      <w:color w:val="000000"/>
                    </w:rPr>
                    <w:t>8.《陕西省通用安装工程基价表（2025）》；</w:t>
                  </w:r>
                </w:p>
                <w:p>
                  <w:pPr>
                    <w:pStyle w:val="null3"/>
                    <w:spacing w:before="150" w:after="150"/>
                    <w:ind w:firstLine="480"/>
                    <w:jc w:val="both"/>
                  </w:pPr>
                  <w:r>
                    <w:rPr>
                      <w:rFonts w:ascii="仿宋_GB2312" w:hAnsi="仿宋_GB2312" w:cs="仿宋_GB2312" w:eastAsia="仿宋_GB2312"/>
                      <w:sz w:val="24"/>
                      <w:color w:val="000000"/>
                    </w:rPr>
                    <w:t>9. 主要材料价格依据《陕西工程造价管理信息》2026年（第3期）、《渭南工程造价信息》2026年（第一期）及当地市场价；</w:t>
                  </w:r>
                </w:p>
                <w:p>
                  <w:pPr>
                    <w:pStyle w:val="null3"/>
                    <w:spacing w:before="150" w:after="150"/>
                    <w:ind w:firstLine="480"/>
                    <w:jc w:val="both"/>
                  </w:pPr>
                  <w:r>
                    <w:rPr>
                      <w:rFonts w:ascii="仿宋_GB2312" w:hAnsi="仿宋_GB2312" w:cs="仿宋_GB2312" w:eastAsia="仿宋_GB2312"/>
                      <w:sz w:val="24"/>
                      <w:color w:val="000000"/>
                    </w:rPr>
                    <w:t>10. 采用广联达云计价平台GCCP7.0（7.5000.23.3）版本编制。</w:t>
                  </w:r>
                </w:p>
                <w:p>
                  <w:pPr>
                    <w:pStyle w:val="null3"/>
                    <w:spacing w:before="150" w:after="150"/>
                    <w:jc w:val="both"/>
                  </w:pPr>
                  <w:r>
                    <w:rPr>
                      <w:rFonts w:ascii="仿宋_GB2312" w:hAnsi="仿宋_GB2312" w:cs="仿宋_GB2312" w:eastAsia="仿宋_GB2312"/>
                      <w:sz w:val="24"/>
                    </w:rPr>
                    <w:t>三、编制范围：</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四、其他说明：</w:t>
                  </w:r>
                </w:p>
                <w:p>
                  <w:pPr>
                    <w:pStyle w:val="null3"/>
                    <w:spacing w:before="150" w:after="150"/>
                    <w:jc w:val="both"/>
                  </w:pPr>
                  <w:r>
                    <w:rPr>
                      <w:rFonts w:ascii="仿宋_GB2312" w:hAnsi="仿宋_GB2312" w:cs="仿宋_GB2312" w:eastAsia="仿宋_GB2312"/>
                      <w:sz w:val="24"/>
                    </w:rPr>
                    <w:t>1、</w:t>
                  </w:r>
                  <w:r>
                    <w:rPr>
                      <w:rFonts w:ascii="仿宋_GB2312" w:hAnsi="仿宋_GB2312" w:cs="仿宋_GB2312" w:eastAsia="仿宋_GB2312"/>
                      <w:sz w:val="24"/>
                    </w:rPr>
                    <w:t>未详尽事宜详见清单。</w:t>
                  </w:r>
                </w:p>
                <w:p>
                  <w:pPr>
                    <w:pStyle w:val="null3"/>
                    <w:spacing w:before="150" w:after="150"/>
                    <w:ind w:firstLine="48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符合国家、行业相关标准及要求，质量达到合格。</w:t>
            </w:r>
          </w:p>
          <w:p>
            <w:pPr>
              <w:pStyle w:val="null3"/>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w:t>
            </w:r>
            <w:r>
              <w:rPr>
                <w:rFonts w:ascii="仿宋_GB2312" w:hAnsi="仿宋_GB2312" w:cs="仿宋_GB2312" w:eastAsia="仿宋_GB2312"/>
              </w:rPr>
              <w:t>1、要求均为：1、工期：合同签订后60日历天内施工完毕；2、付款方式：合同签订后付合同价款的30%，施工完毕初验合格后付至合同价款的80%，待工程决算审计报告双方签字盖章认可后，付至审计价款的97%，剩余3%缺陷责任期满后付清。</w:t>
            </w:r>
          </w:p>
          <w:p>
            <w:pPr>
              <w:pStyle w:val="null3"/>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（说明：工程量清单应当结合《政府采购需求管理办法》（财库〔</w:t>
            </w:r>
            <w:r>
              <w:rPr>
                <w:rFonts w:ascii="仿宋_GB2312" w:hAnsi="仿宋_GB2312" w:cs="仿宋_GB2312" w:eastAsia="仿宋_GB2312"/>
              </w:rPr>
              <w:t>2021〕22号）第六条第二款规定，明确相关性能、材料、结构、外观、安全、标准等。）</w:t>
            </w:r>
          </w:p>
          <w:p>
            <w:pPr>
              <w:pStyle w:val="null3"/>
            </w:pPr>
            <w:r>
              <w:rPr>
                <w:rFonts w:ascii="仿宋_GB2312" w:hAnsi="仿宋_GB2312" w:cs="仿宋_GB2312" w:eastAsia="仿宋_GB2312"/>
                <w:sz w:val="28"/>
                <w:b/>
              </w:rPr>
              <w:t>3.2商务要求（说明：由采购人依据项目具体需求制定）</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项目负责人（项目经理）</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具体要求详见资格审查条款</w:t>
                  </w:r>
                </w:p>
              </w:tc>
            </w:tr>
          </w:tbl>
          <w:p>
            <w:pPr>
              <w:pStyle w:val="nul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3.若要求供应商提供相关人员的职业资格的，不得要求提供除现行《国家职业资格目录》以外的职业资格，不得以不合理条件对供应商实行差别待遇或者歧视性待遇。</w:t>
            </w:r>
          </w:p>
          <w:p>
            <w:pPr>
              <w:pStyle w:val="null3"/>
            </w:pPr>
            <w:r>
              <w:rPr>
                <w:rFonts w:ascii="仿宋_GB2312" w:hAnsi="仿宋_GB2312" w:cs="仿宋_GB2312" w:eastAsia="仿宋_GB2312"/>
                <w:sz w:val="28"/>
                <w:b/>
              </w:rPr>
              <w:t>3.3其他要求</w:t>
            </w:r>
          </w:p>
          <w:p>
            <w:pPr>
              <w:pStyle w:val="null3"/>
              <w:jc w:val="both"/>
            </w:pPr>
            <w:r>
              <w:rPr>
                <w:rFonts w:ascii="仿宋_GB2312" w:hAnsi="仿宋_GB2312" w:cs="仿宋_GB2312" w:eastAsia="仿宋_GB2312"/>
                <w:sz w:val="21"/>
              </w:rPr>
              <w:t>1、投标时供应商无需提供纸质版响应文件。成交供应商在领取中标（成交）通知书前将纸质版响应文件打印胶装</w:t>
            </w:r>
            <w:r>
              <w:rPr>
                <w:rFonts w:ascii="仿宋_GB2312" w:hAnsi="仿宋_GB2312" w:cs="仿宋_GB2312" w:eastAsia="仿宋_GB2312"/>
                <w:sz w:val="21"/>
              </w:rPr>
              <w:t>3</w:t>
            </w:r>
            <w:r>
              <w:rPr>
                <w:rFonts w:ascii="仿宋_GB2312" w:hAnsi="仿宋_GB2312" w:cs="仿宋_GB2312" w:eastAsia="仿宋_GB2312"/>
                <w:sz w:val="21"/>
              </w:rPr>
              <w:t>份、电子版（</w:t>
            </w:r>
            <w:r>
              <w:rPr>
                <w:rFonts w:ascii="仿宋_GB2312" w:hAnsi="仿宋_GB2312" w:cs="仿宋_GB2312" w:eastAsia="仿宋_GB2312"/>
                <w:sz w:val="21"/>
              </w:rPr>
              <w:t>U 盘）文件</w:t>
            </w:r>
            <w:r>
              <w:rPr>
                <w:rFonts w:ascii="仿宋_GB2312" w:hAnsi="仿宋_GB2312" w:cs="仿宋_GB2312" w:eastAsia="仿宋_GB2312"/>
                <w:sz w:val="21"/>
              </w:rPr>
              <w:t>2</w:t>
            </w:r>
            <w:r>
              <w:rPr>
                <w:rFonts w:ascii="仿宋_GB2312" w:hAnsi="仿宋_GB2312" w:cs="仿宋_GB2312" w:eastAsia="仿宋_GB2312"/>
                <w:sz w:val="21"/>
              </w:rPr>
              <w:t>份提交至采购代理机构处，以便采购人进行留存备案等工作，成交供应商应保持响应文件纸质版内容与电子版内容完全一致，否则将承担一切法律责任。纸质版响应文件一律采用书籍（胶装）方式装订且单面或双面打印。</w:t>
            </w:r>
          </w:p>
          <w:p>
            <w:pPr>
              <w:pStyle w:val="null3"/>
              <w:jc w:val="both"/>
            </w:pPr>
            <w:r>
              <w:rPr>
                <w:rFonts w:ascii="仿宋_GB2312" w:hAnsi="仿宋_GB2312" w:cs="仿宋_GB2312" w:eastAsia="仿宋_GB2312"/>
                <w:sz w:val="21"/>
              </w:rPr>
              <w:t>2、落实政府采购政策需满足的资格要求：</w:t>
            </w:r>
          </w:p>
          <w:p>
            <w:pPr>
              <w:pStyle w:val="null3"/>
              <w:jc w:val="both"/>
            </w:pPr>
            <w:r>
              <w:rPr>
                <w:rFonts w:ascii="仿宋_GB2312" w:hAnsi="仿宋_GB2312" w:cs="仿宋_GB2312" w:eastAsia="仿宋_GB2312"/>
                <w:sz w:val="21"/>
              </w:rPr>
              <w:t>（1）《国务院办公厅关于建立政府强制采购节能产品制度的通知》（国办发〔2007〕51号）；</w:t>
            </w:r>
          </w:p>
          <w:p>
            <w:pPr>
              <w:pStyle w:val="null3"/>
              <w:jc w:val="both"/>
            </w:pPr>
            <w:r>
              <w:rPr>
                <w:rFonts w:ascii="仿宋_GB2312" w:hAnsi="仿宋_GB2312" w:cs="仿宋_GB2312" w:eastAsia="仿宋_GB2312"/>
                <w:sz w:val="21"/>
              </w:rPr>
              <w:t>（2）《财政部司法部关于政府采购支持监狱企业发展有关问题的通知》（财库〔2014〕68号）；</w:t>
            </w:r>
          </w:p>
          <w:p>
            <w:pPr>
              <w:pStyle w:val="null3"/>
              <w:jc w:val="both"/>
            </w:pPr>
            <w:r>
              <w:rPr>
                <w:rFonts w:ascii="仿宋_GB2312" w:hAnsi="仿宋_GB2312" w:cs="仿宋_GB2312" w:eastAsia="仿宋_GB2312"/>
                <w:sz w:val="21"/>
              </w:rPr>
              <w:t>（3）三部门联合发布《关于促进残疾人就业政府采购政策的通知》（财库〔2017〕141号）；</w:t>
            </w:r>
          </w:p>
          <w:p>
            <w:pPr>
              <w:pStyle w:val="null3"/>
              <w:jc w:val="both"/>
            </w:pPr>
            <w:r>
              <w:rPr>
                <w:rFonts w:ascii="仿宋_GB2312" w:hAnsi="仿宋_GB2312" w:cs="仿宋_GB2312" w:eastAsia="仿宋_GB2312"/>
                <w:sz w:val="21"/>
              </w:rPr>
              <w:t>（4）《财政部发展改革委生态环境部市场监管总局关于调整优化节能产品、环境标志产品政府采购执行机制的通知》（财库〔2019〕9号）；</w:t>
            </w:r>
          </w:p>
          <w:p>
            <w:pPr>
              <w:pStyle w:val="null3"/>
              <w:jc w:val="both"/>
            </w:pPr>
            <w:r>
              <w:rPr>
                <w:rFonts w:ascii="仿宋_GB2312" w:hAnsi="仿宋_GB2312" w:cs="仿宋_GB2312" w:eastAsia="仿宋_GB2312"/>
                <w:sz w:val="21"/>
              </w:rPr>
              <w:t>（5）陕西省财政厅关于印发《陕西省中小企业政府采购信用融资办法》（陕财办采〔2018〕23号）；</w:t>
            </w:r>
          </w:p>
          <w:p>
            <w:pPr>
              <w:pStyle w:val="null3"/>
              <w:jc w:val="both"/>
            </w:pPr>
            <w:r>
              <w:rPr>
                <w:rFonts w:ascii="仿宋_GB2312" w:hAnsi="仿宋_GB2312" w:cs="仿宋_GB2312" w:eastAsia="仿宋_GB2312"/>
                <w:sz w:val="21"/>
              </w:rPr>
              <w:t>（6）《陕西省财政厅关于加快推进我省中小企业政府采购信用融资工作的通知》（陕财办采〔2020〕15号）；（7）《政府采购促进中小企业发展管理办法》（财库〔2020〕46号）；</w:t>
            </w:r>
          </w:p>
          <w:p>
            <w:pPr>
              <w:pStyle w:val="null3"/>
              <w:jc w:val="both"/>
            </w:pPr>
            <w:r>
              <w:rPr>
                <w:rFonts w:ascii="仿宋_GB2312" w:hAnsi="仿宋_GB2312" w:cs="仿宋_GB2312" w:eastAsia="仿宋_GB2312"/>
                <w:sz w:val="21"/>
              </w:rPr>
              <w:t>（8）《关于进一步加大政府采购支持中小企业力度的通知》（财库〔2022〕19号）；</w:t>
            </w:r>
          </w:p>
          <w:p>
            <w:pPr>
              <w:pStyle w:val="null3"/>
              <w:jc w:val="both"/>
            </w:pPr>
            <w:r>
              <w:rPr>
                <w:rFonts w:ascii="仿宋_GB2312" w:hAnsi="仿宋_GB2312" w:cs="仿宋_GB2312" w:eastAsia="仿宋_GB2312"/>
                <w:sz w:val="21"/>
              </w:rPr>
              <w:t>（9）《财政部 农业农村部 国家乡村振兴局关于运用政府采购政策 支持乡村产业振兴的通知》（财库〔2021〕19号）；</w:t>
            </w:r>
          </w:p>
          <w:p>
            <w:pPr>
              <w:pStyle w:val="null3"/>
              <w:jc w:val="both"/>
            </w:pPr>
            <w:r>
              <w:rPr>
                <w:rFonts w:ascii="仿宋_GB2312" w:hAnsi="仿宋_GB2312" w:cs="仿宋_GB2312" w:eastAsia="仿宋_GB2312"/>
                <w:sz w:val="21"/>
              </w:rPr>
              <w:t>（10）陕西省财政厅《关于进一步加强政府绿色采购有关问题的通知》（陕财办〔2021〕29号）；</w:t>
            </w:r>
          </w:p>
          <w:p>
            <w:pPr>
              <w:pStyle w:val="null3"/>
              <w:jc w:val="both"/>
            </w:pPr>
            <w:r>
              <w:rPr>
                <w:rFonts w:ascii="仿宋_GB2312" w:hAnsi="仿宋_GB2312" w:cs="仿宋_GB2312" w:eastAsia="仿宋_GB2312"/>
                <w:sz w:val="21"/>
              </w:rPr>
              <w:t>（11）《关于促进政府采购公平竞争优化营商环境的通知》（财库〔2019〕38号）；</w:t>
            </w:r>
          </w:p>
          <w:p>
            <w:pPr>
              <w:pStyle w:val="null3"/>
              <w:jc w:val="both"/>
            </w:pPr>
            <w:r>
              <w:rPr>
                <w:rFonts w:ascii="仿宋_GB2312" w:hAnsi="仿宋_GB2312" w:cs="仿宋_GB2312" w:eastAsia="仿宋_GB2312"/>
                <w:sz w:val="21"/>
              </w:rPr>
              <w:t>（12）《陕西省财政厅关于进一步落实政府采购支持中小企业相关政策的通知》（陕财办采〔2023〕3号）；（13）《陕西省财政厅关于进一步优化政府采购营商环境有关事项的通知》（陕财办采〔2023〕4号）。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1、投标时供应商无需提供纸质版响应文件。成交供应商在领取中标（成交）通知书前将纸质版响应文件打印胶装3份、电子版（U 盘）文件2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技术响应.docx 中小企业声明函 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响应文件封面 技术响应.docx 中小企业声明函 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技术响应.docx 响应文件封面 中小企业声明函 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供应商特定资格要求.docx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4家实质性响应的供应商的设计方案或解决方案，进入最后报价环节；不足4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确保工期的技术组织措施及施工进度表(横道图或网络图)</w:t>
            </w:r>
          </w:p>
        </w:tc>
        <w:tc>
          <w:tcPr>
            <w:tcW w:type="dxa" w:w="2492"/>
          </w:tcPr>
          <w:p>
            <w:pPr>
              <w:pStyle w:val="null3"/>
            </w:pPr>
            <w:r>
              <w:rPr>
                <w:rFonts w:ascii="仿宋_GB2312" w:hAnsi="仿宋_GB2312" w:cs="仿宋_GB2312" w:eastAsia="仿宋_GB2312"/>
              </w:rPr>
              <w:t>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施工机械配备和材料投入计划及劳动力安排计划</w:t>
            </w:r>
          </w:p>
        </w:tc>
        <w:tc>
          <w:tcPr>
            <w:tcW w:type="dxa" w:w="2492"/>
          </w:tcPr>
          <w:p>
            <w:pPr>
              <w:pStyle w:val="null3"/>
            </w:pPr>
            <w:r>
              <w:rPr>
                <w:rFonts w:ascii="仿宋_GB2312" w:hAnsi="仿宋_GB2312" w:cs="仿宋_GB2312" w:eastAsia="仿宋_GB2312"/>
              </w:rPr>
              <w:t>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2023年06月1日至今完成的类似业绩，一项得2分，最多得6分。 注：须附类似项目业绩的成交（中标）通知书或合同或竣工验收证明材料复印件或扫描件），以提供证明资料的落款时间为准。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详见附件：供应商特定资格要求.docx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