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版本号：SCZD2026-JT-0977--001.1B120260524001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64排CT球管采购项目(二次)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SCZD2026-JT-0977--001.1B1</w:t>
      </w:r>
      <w:r>
        <w:br/>
      </w:r>
      <w:r>
        <w:br/>
      </w:r>
      <w:r>
        <w:br/>
      </w:r>
    </w:p>
    <w:p>
      <w:pPr>
        <w:pStyle w:val="null3"/>
        <w:jc w:val="center"/>
        <w:outlineLvl w:val="2"/>
      </w:pPr>
      <w:r>
        <w:rPr>
          <w:rFonts w:ascii="仿宋_GB2312" w:hAnsi="仿宋_GB2312" w:cs="仿宋_GB2312" w:eastAsia="仿宋_GB2312"/>
          <w:sz w:val="28"/>
          <w:b/>
        </w:rPr>
        <w:t>铜川市耀州区人民医院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铜川市耀州区人民医院</w:t>
      </w:r>
      <w:r>
        <w:rPr>
          <w:rFonts w:ascii="仿宋_GB2312" w:hAnsi="仿宋_GB2312" w:cs="仿宋_GB2312" w:eastAsia="仿宋_GB2312"/>
        </w:rPr>
        <w:t>委托，拟对</w:t>
      </w:r>
      <w:r>
        <w:rPr>
          <w:rFonts w:ascii="仿宋_GB2312" w:hAnsi="仿宋_GB2312" w:cs="仿宋_GB2312" w:eastAsia="仿宋_GB2312"/>
        </w:rPr>
        <w:t>64排CT球管采购项目(二次)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SCZD2026-JT-0977--001.1B1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64排CT球管采购项目(二次)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采购64排CT球管1套，与在用的全身X射线计算机断层扫描系统（OPtima CT660）完全匹配兼容使用。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1、信用情况：供应商未被列入“信用中国”网站(www.creditchina.gov.cn)“失信被执行人或重大税收违法失信主体或政府采购严重违法失信行为”记录名单；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 （以采购代理机构于响应文件递交截止时间当天进行资格审查时在“信用中国”网站（www.creditchina.gov.cn）及中国政府采购网(www.ccgp.gov.cn)查询结果为准）。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在本单位缴纳养老保险证明：法定代表人或单位负责人参与谈判的，应提供法定代表人或单位负责人身份证明；授权代表参与谈判的，应提供法定代表人或单位负责人身份证明、授权委托书及授权代表在本单位缴纳养老保险证明。</w:t>
      </w:r>
    </w:p>
    <w:p>
      <w:pPr>
        <w:pStyle w:val="null3"/>
      </w:pPr>
      <w:r>
        <w:rPr>
          <w:rFonts w:ascii="仿宋_GB2312" w:hAnsi="仿宋_GB2312" w:cs="仿宋_GB2312" w:eastAsia="仿宋_GB2312"/>
        </w:rPr>
        <w:t>3、医疗器械相关资质：供应商应具有第二类医疗器械经营备案凭证（响应产品须在其经营范围内），还需提供制造商的医疗器械生产许可证（响应产品须在其生产范围内）和医疗器械注册证。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铜川市耀州区华原路中段北侧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刘晓静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0919-6285612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张锐 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代理服务费收费标准：定额7000元整，由成交供应商在领取成交通知书前一次性向采购代理机构缴纳。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铜川市耀州区人民医院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铜川市耀州区人民医院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铜川市耀州区人民医院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采购64排CT球管1套，与在用的全身X射线计算机断层扫描系统（OPtima CT660）完全匹配兼容使用。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区人民医院关于采购64排CT球管项目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标的名称：区人民医院关于采购64排CT球管项目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3"/>
              <w:jc w:val="center"/>
            </w:pPr>
            <w:r>
              <w:rPr>
                <w:rFonts w:ascii="仿宋_GB2312" w:hAnsi="仿宋_GB2312" w:cs="仿宋_GB2312" w:eastAsia="仿宋_GB2312"/>
                <w:sz w:val="32"/>
                <w:b/>
              </w:rPr>
              <w:t>技术要求</w:t>
            </w:r>
          </w:p>
          <w:p>
            <w:pPr>
              <w:pStyle w:val="null3"/>
              <w:ind w:firstLine="440"/>
              <w:jc w:val="both"/>
            </w:pPr>
            <w:r>
              <w:rPr>
                <w:rFonts w:ascii="仿宋_GB2312" w:hAnsi="仿宋_GB2312" w:cs="仿宋_GB2312" w:eastAsia="仿宋_GB2312"/>
                <w:sz w:val="22"/>
              </w:rPr>
              <w:t>1、阳极热容量≥4.7MJ</w:t>
            </w:r>
          </w:p>
          <w:p>
            <w:pPr>
              <w:pStyle w:val="null3"/>
              <w:ind w:firstLine="440"/>
              <w:jc w:val="both"/>
            </w:pPr>
            <w:r>
              <w:rPr>
                <w:rFonts w:ascii="仿宋_GB2312" w:hAnsi="仿宋_GB2312" w:cs="仿宋_GB2312" w:eastAsia="仿宋_GB2312"/>
                <w:sz w:val="22"/>
              </w:rPr>
              <w:t>2、管套热容量要求≥7.4MJ</w:t>
            </w:r>
          </w:p>
          <w:p>
            <w:pPr>
              <w:pStyle w:val="null3"/>
              <w:ind w:firstLine="440"/>
              <w:jc w:val="both"/>
            </w:pPr>
            <w:r>
              <w:rPr>
                <w:rFonts w:ascii="仿宋_GB2312" w:hAnsi="仿宋_GB2312" w:cs="仿宋_GB2312" w:eastAsia="仿宋_GB2312"/>
                <w:sz w:val="22"/>
              </w:rPr>
              <w:t>3、焦点数量：≥两个</w:t>
            </w:r>
          </w:p>
          <w:p>
            <w:pPr>
              <w:pStyle w:val="null3"/>
              <w:ind w:firstLine="440"/>
              <w:jc w:val="both"/>
            </w:pPr>
            <w:r>
              <w:rPr>
                <w:rFonts w:ascii="仿宋_GB2312" w:hAnsi="仿宋_GB2312" w:cs="仿宋_GB2312" w:eastAsia="仿宋_GB2312"/>
                <w:sz w:val="22"/>
              </w:rPr>
              <w:t>4、焦点尺寸：小焦点≤0.9mm*0.7mm; 大焦点≤1.2mm*1.2mm</w:t>
            </w:r>
          </w:p>
          <w:p>
            <w:pPr>
              <w:pStyle w:val="null3"/>
              <w:ind w:firstLine="440"/>
              <w:jc w:val="both"/>
            </w:pPr>
            <w:r>
              <w:rPr>
                <w:rFonts w:ascii="仿宋_GB2312" w:hAnsi="仿宋_GB2312" w:cs="仿宋_GB2312" w:eastAsia="仿宋_GB2312"/>
                <w:sz w:val="22"/>
              </w:rPr>
              <w:t>5 、大焦点功率≥66KW</w:t>
            </w:r>
          </w:p>
          <w:p>
            <w:pPr>
              <w:pStyle w:val="null3"/>
              <w:ind w:firstLine="440"/>
              <w:jc w:val="both"/>
            </w:pPr>
            <w:r>
              <w:rPr>
                <w:rFonts w:ascii="仿宋_GB2312" w:hAnsi="仿宋_GB2312" w:cs="仿宋_GB2312" w:eastAsia="仿宋_GB2312"/>
                <w:sz w:val="22"/>
              </w:rPr>
              <w:t>6、120KV 时毫安输出≥600mA</w:t>
            </w:r>
          </w:p>
          <w:p>
            <w:pPr>
              <w:pStyle w:val="null3"/>
              <w:ind w:firstLine="440"/>
              <w:jc w:val="both"/>
            </w:pPr>
            <w:r>
              <w:rPr>
                <w:rFonts w:ascii="仿宋_GB2312" w:hAnsi="仿宋_GB2312" w:cs="仿宋_GB2312" w:eastAsia="仿宋_GB2312"/>
                <w:sz w:val="22"/>
              </w:rPr>
              <w:t>7、管套出线窗口尺寸≥40mm</w:t>
            </w:r>
          </w:p>
          <w:p>
            <w:pPr>
              <w:pStyle w:val="null3"/>
              <w:ind w:firstLine="440"/>
              <w:jc w:val="both"/>
            </w:pPr>
            <w:r>
              <w:rPr>
                <w:rFonts w:ascii="仿宋_GB2312" w:hAnsi="仿宋_GB2312" w:cs="仿宋_GB2312" w:eastAsia="仿宋_GB2312"/>
                <w:sz w:val="22"/>
              </w:rPr>
              <w:t>8、球管额定电压≥140KV</w:t>
            </w:r>
          </w:p>
          <w:p>
            <w:pPr>
              <w:pStyle w:val="null3"/>
              <w:ind w:firstLine="440"/>
              <w:jc w:val="both"/>
            </w:pPr>
            <w:r>
              <w:rPr>
                <w:rFonts w:ascii="仿宋_GB2312" w:hAnsi="仿宋_GB2312" w:cs="仿宋_GB2312" w:eastAsia="仿宋_GB2312"/>
                <w:sz w:val="22"/>
              </w:rPr>
              <w:t>9、阳极靶面角度≥7°</w:t>
            </w:r>
          </w:p>
          <w:p>
            <w:pPr>
              <w:pStyle w:val="null3"/>
              <w:ind w:firstLine="440"/>
              <w:jc w:val="both"/>
            </w:pPr>
            <w:r>
              <w:rPr>
                <w:rFonts w:ascii="仿宋_GB2312" w:hAnsi="仿宋_GB2312" w:cs="仿宋_GB2312" w:eastAsia="仿宋_GB2312"/>
                <w:sz w:val="22"/>
              </w:rPr>
              <w:t>须提供以上参数的证明文件（包括不限于检测报告、技术白皮书、厂家产品说明等）。</w:t>
            </w:r>
          </w:p>
          <w:p>
            <w:pPr>
              <w:pStyle w:val="null3"/>
              <w:ind w:firstLine="440"/>
              <w:jc w:val="both"/>
            </w:pPr>
            <w:r>
              <w:rPr>
                <w:rFonts w:ascii="仿宋_GB2312" w:hAnsi="仿宋_GB2312" w:cs="仿宋_GB2312" w:eastAsia="仿宋_GB2312"/>
                <w:sz w:val="22"/>
              </w:rPr>
              <w:t>10、供应商必须保证提供的球管是通过合法渠道获得的、全新的、未使用过的合格产品，其有关技术、专利、检验等均要符合中华人民共和国的有关法律、法规。（提供承诺书）</w:t>
            </w:r>
          </w:p>
          <w:p>
            <w:pPr>
              <w:pStyle w:val="null3"/>
              <w:ind w:firstLine="440"/>
              <w:jc w:val="both"/>
            </w:pPr>
            <w:r>
              <w:rPr>
                <w:rFonts w:ascii="仿宋_GB2312" w:hAnsi="仿宋_GB2312" w:cs="仿宋_GB2312" w:eastAsia="仿宋_GB2312"/>
                <w:sz w:val="22"/>
              </w:rPr>
              <w:t>11、确保所提供球管与院方目前在用GE CT主机（OPtima CT660）可完全匹配兼容使用。（提供承诺书）</w:t>
            </w:r>
          </w:p>
          <w:p>
            <w:pPr>
              <w:pStyle w:val="null3"/>
              <w:ind w:firstLine="643"/>
              <w:jc w:val="center"/>
            </w:pPr>
            <w:r>
              <w:rPr>
                <w:rFonts w:ascii="仿宋_GB2312" w:hAnsi="仿宋_GB2312" w:cs="仿宋_GB2312" w:eastAsia="仿宋_GB2312"/>
                <w:sz w:val="32"/>
                <w:b/>
              </w:rPr>
              <w:t>商务要求</w:t>
            </w:r>
          </w:p>
          <w:p>
            <w:pPr>
              <w:pStyle w:val="null3"/>
              <w:ind w:firstLine="440"/>
              <w:jc w:val="both"/>
            </w:pPr>
            <w:r>
              <w:rPr>
                <w:rFonts w:ascii="仿宋_GB2312" w:hAnsi="仿宋_GB2312" w:cs="仿宋_GB2312" w:eastAsia="仿宋_GB2312"/>
                <w:sz w:val="22"/>
              </w:rPr>
              <w:t>1、交货期：合同签订后30个工作日</w:t>
            </w:r>
          </w:p>
          <w:p>
            <w:pPr>
              <w:pStyle w:val="null3"/>
              <w:ind w:firstLine="440"/>
              <w:jc w:val="both"/>
            </w:pPr>
            <w:r>
              <w:rPr>
                <w:rFonts w:ascii="仿宋_GB2312" w:hAnsi="仿宋_GB2312" w:cs="仿宋_GB2312" w:eastAsia="仿宋_GB2312"/>
                <w:sz w:val="22"/>
              </w:rPr>
              <w:t>2、付款比例：合同签定后乙方开始备货，球管安装验收合格之日起乙方开具全额发票后 ，达到付款条件起5日内，支付合同总金额的60.00%；球管运行满3个月后，达到付款条件起5日内，支付合同总金额的30.00%；球管使用期满后，达到付款条件起5日内，支付合同总金额的10.00%。</w:t>
            </w:r>
          </w:p>
          <w:p>
            <w:pPr>
              <w:pStyle w:val="null3"/>
              <w:ind w:firstLine="440"/>
              <w:jc w:val="both"/>
            </w:pPr>
            <w:r>
              <w:rPr>
                <w:rFonts w:ascii="仿宋_GB2312" w:hAnsi="仿宋_GB2312" w:cs="仿宋_GB2312" w:eastAsia="仿宋_GB2312"/>
                <w:sz w:val="22"/>
              </w:rPr>
              <w:t>3、质保期：自球管安装验收合格之日起1年或30万秒次先到为准</w:t>
            </w:r>
            <w:r>
              <w:rPr>
                <w:rFonts w:ascii="仿宋_GB2312" w:hAnsi="仿宋_GB2312" w:cs="仿宋_GB2312" w:eastAsia="仿宋_GB2312"/>
                <w:sz w:val="22"/>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合同签订后30个工作日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铜川市耀州区人民医院指定地点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合同签定后乙方开始备货，球管安装验收合格之日起乙方开具全额发票后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球管运行满3个月后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球管使用期满后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质保期为验收合格后1年或30万秒次，以先到为准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供应商需在项目电子化交易系统中按要求上传相应证明文件&lt;提供（1）或提供（2）&gt;并进行电子签章。 （1）提供2025年经审计的财务报告，应满足以下要求：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①资信证明须为响应文件递交截止时间前三个月内由供应商基本账户开户银行出具。 ②无论开具银行是否标明“复印无效”，供应商提供的复印件在本次谈判中予以认可（即不因“复印无效”字样而认定资信证明复印件无效）。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本项目非专门面向中小企业采购</w:t>
            </w:r>
          </w:p>
        </w:tc>
        <w:tc>
          <w:tcPr>
            <w:tcW w:type="dxa" w:w="3322"/>
          </w:tcPr>
          <w:p>
            <w:pPr>
              <w:pStyle w:val="null3"/>
            </w:pPr>
            <w:r>
              <w:rPr>
                <w:rFonts w:ascii="仿宋_GB2312" w:hAnsi="仿宋_GB2312" w:cs="仿宋_GB2312" w:eastAsia="仿宋_GB2312"/>
              </w:rPr>
              <w:t>无，本项目非专门面向中小企业采购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信用情况</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 （以采购代理机构于响应文件递交截止时间当天进行资格审查时在“信用中国”网站（www.creditchina.gov.cn）及中国政府采购网(www.ccgp.gov.cn)查询结果为准）。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法定代表人或单位负责人参与谈判的，应提供法定代表人或单位负责人身份证明；授权代表参与谈判的，应提供法定代表人或单位负责人身份证明、授权委托书及授权代表在本单位缴纳养老保险证明。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医疗器械相关资质</w:t>
            </w:r>
          </w:p>
        </w:tc>
        <w:tc>
          <w:tcPr>
            <w:tcW w:type="dxa" w:w="3322"/>
          </w:tcPr>
          <w:p>
            <w:pPr>
              <w:pStyle w:val="null3"/>
            </w:pPr>
            <w:r>
              <w:rPr>
                <w:rFonts w:ascii="仿宋_GB2312" w:hAnsi="仿宋_GB2312" w:cs="仿宋_GB2312" w:eastAsia="仿宋_GB2312"/>
              </w:rPr>
              <w:t>供应商应具有第二类医疗器械经营备案凭证（响应产品须在其经营范围内），还需提供制造商的医疗器械生产许可证（响应产品须在其生产范围内）和医疗器械注册证。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关于符合本国产品标准的声明函.docx 中小企业声明函 商务应答表 报价表 资格证明文件.docx 响应方案.docx 响应文件封面 产品技术参数表 残疾人福利性单位声明函 标的清单 响应函 类似业绩.docx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首次谈判报价</w:t>
            </w:r>
          </w:p>
        </w:tc>
        <w:tc>
          <w:tcPr>
            <w:tcW w:type="dxa" w:w="3322"/>
          </w:tcPr>
          <w:p>
            <w:pPr>
              <w:pStyle w:val="null3"/>
            </w:pPr>
            <w:r>
              <w:rPr>
                <w:rFonts w:ascii="仿宋_GB2312" w:hAnsi="仿宋_GB2312" w:cs="仿宋_GB2312" w:eastAsia="仿宋_GB2312"/>
              </w:rPr>
              <w:t>供应商首次谈判报价没有超出对应最高限价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实质性响应的供应商报价，有可能影响产品质量或者不能诚信履约的，谈判小组应当要求其在评审现场合理的时间内提供成本构成书面说明，并提交相关证明材料。书面说明应当按照国家财务会计制度的规定要求，逐项就供应商提供的货物和服务的主营业务成本（应根据供应商企业类型予以区别）、税金及附加、销售费用、管理费用、财务费用等成本构成事项详细陈述。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响应内容满足采购文件的商务、技术等实质性要求，不存在采购档次降低或影响产品质量的情形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遵循公平竞争的原则，没有弄虚作假、恶意串通或妨碍其他高压的竞争行为，损害采购人或者其他供应商的合法权益。 1、有下列情形之一的，视为供应商相互串通： （1）不同供应商的响应文件由同一单位或者个人编制； （2）不同供应商委托同一单位或者个人办理参与谈判事宜； （3）不同供应商的响应文件载明的项目管理成员或者联系人员为同一人； （4）不同供应商的响应文件异常一致或者报价呈规律性差异； （5）不同供应商的响应文件相互混装。 2、有下列情形之一的，属于提供虚假材料谋取成交的行为： （1）使用伪造、变造的许可证件； （2）提供虚假的财务状况或者业绩； （3）提供虚假的项目负责人或者主要技术人员简历、劳动关系证明； （4）提供虚假的信用状况； （5）其他弄虚作假的行为。</w:t>
            </w:r>
          </w:p>
        </w:tc>
        <w:tc>
          <w:tcPr>
            <w:tcW w:type="dxa" w:w="1661"/>
          </w:tcPr>
          <w:p>
            <w:pPr>
              <w:pStyle w:val="null3"/>
            </w:pPr>
            <w:r>
              <w:rPr>
                <w:rFonts w:ascii="仿宋_GB2312" w:hAnsi="仿宋_GB2312" w:cs="仿宋_GB2312" w:eastAsia="仿宋_GB2312"/>
              </w:rPr>
              <w:t>关于符合本国产品标准的声明函.docx 中小企业声明函 商务应答表 报价表 资格证明文件.docx 响应方案.docx 响应文件封面 产品技术参数表 残疾人福利性单位声明函 标的清单 响应函 类似业绩.docx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关于符合本国产品标准的声明函.docx 中小企业声明函 商务应答表 报价表 资格证明文件.docx 响应方案.docx 响应文件封面 产品技术参数表 残疾人福利性单位声明函 标的清单 响应函 类似业绩.docx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