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版本号：OTXA-2620111369.1B120260811001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学校教学及辅助用房维修改造(二次)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OTXA-2620111369.1B1</w:t>
      </w:r>
      <w:r>
        <w:br/>
      </w:r>
      <w:r>
        <w:br/>
      </w:r>
      <w:r>
        <w:br/>
      </w:r>
    </w:p>
    <w:p>
      <w:pPr>
        <w:pStyle w:val="null3"/>
        <w:jc w:val="center"/>
        <w:outlineLvl w:val="2"/>
      </w:pPr>
      <w:r>
        <w:rPr>
          <w:rFonts w:ascii="仿宋_GB2312" w:hAnsi="仿宋_GB2312" w:cs="仿宋_GB2312" w:eastAsia="仿宋_GB2312"/>
          <w:sz w:val="28"/>
          <w:b/>
        </w:rPr>
        <w:t>西安市第八十三中学</w:t>
      </w:r>
    </w:p>
    <w:p>
      <w:pPr>
        <w:pStyle w:val="null3"/>
        <w:jc w:val="center"/>
        <w:outlineLvl w:val="2"/>
      </w:pPr>
      <w:r>
        <w:rPr>
          <w:rFonts w:ascii="仿宋_GB2312" w:hAnsi="仿宋_GB2312" w:cs="仿宋_GB2312" w:eastAsia="仿宋_GB2312"/>
          <w:sz w:val="28"/>
          <w:b/>
        </w:rPr>
        <w:t>东方（西安）国际招标有限公司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东方（西安）国际招标有限公司</w:t>
      </w:r>
      <w:r>
        <w:rPr>
          <w:rFonts w:ascii="仿宋_GB2312" w:hAnsi="仿宋_GB2312" w:cs="仿宋_GB2312" w:eastAsia="仿宋_GB2312"/>
        </w:rPr>
        <w:t>（以下简称“代理机构”）受</w:t>
      </w:r>
      <w:r>
        <w:rPr>
          <w:rFonts w:ascii="仿宋_GB2312" w:hAnsi="仿宋_GB2312" w:cs="仿宋_GB2312" w:eastAsia="仿宋_GB2312"/>
        </w:rPr>
        <w:t>西安市第八十三中学</w:t>
      </w:r>
      <w:r>
        <w:rPr>
          <w:rFonts w:ascii="仿宋_GB2312" w:hAnsi="仿宋_GB2312" w:cs="仿宋_GB2312" w:eastAsia="仿宋_GB2312"/>
        </w:rPr>
        <w:t>委托，拟对</w:t>
      </w:r>
      <w:r>
        <w:rPr>
          <w:rFonts w:ascii="仿宋_GB2312" w:hAnsi="仿宋_GB2312" w:cs="仿宋_GB2312" w:eastAsia="仿宋_GB2312"/>
        </w:rPr>
        <w:t>学校教学及辅助用房维修改造(二次)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OTXA-2620111369.1B1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学校教学及辅助用房维修改造(二次)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学校教学及辅助用房维修改造，具体内容详见竞争性磋商文件。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采购包1（学校教学及辅助用房维修改造）：属于专门面向中小企业采购。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1、法定代表人委托授权书：法定代表人直接参加的须提交法定代表人证明书；法定代表人授权代表参加的，提供法定代表人授权书（附法定代表人、授权代表身份证复印件）。</w:t>
      </w:r>
    </w:p>
    <w:p>
      <w:pPr>
        <w:pStyle w:val="null3"/>
      </w:pPr>
      <w:r>
        <w:rPr>
          <w:rFonts w:ascii="仿宋_GB2312" w:hAnsi="仿宋_GB2312" w:cs="仿宋_GB2312" w:eastAsia="仿宋_GB2312"/>
        </w:rPr>
        <w:t>2、供应商资质：供应商具备建筑装修装饰工程专业承包二级或以上资质，且具备合格有效的安全生产许可证。</w:t>
      </w:r>
    </w:p>
    <w:p>
      <w:pPr>
        <w:pStyle w:val="null3"/>
      </w:pPr>
      <w:r>
        <w:rPr>
          <w:rFonts w:ascii="仿宋_GB2312" w:hAnsi="仿宋_GB2312" w:cs="仿宋_GB2312" w:eastAsia="仿宋_GB2312"/>
        </w:rPr>
        <w:t>3、项目经理资质：拟派项目经理具有建筑工程专业二级或以上注册建造师资格，具有有效的安全生产考核合格证（B级），在本单位注册，且未担任其他在建项目的项目经理（提供承诺书）。</w:t>
      </w:r>
    </w:p>
    <w:p>
      <w:pPr>
        <w:pStyle w:val="null3"/>
      </w:pPr>
      <w:r>
        <w:rPr>
          <w:rFonts w:ascii="仿宋_GB2312" w:hAnsi="仿宋_GB2312" w:cs="仿宋_GB2312" w:eastAsia="仿宋_GB2312"/>
        </w:rPr>
        <w:t>4、本项目不接受联合体磋商：本项目不接受联合体磋商。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西安市第八十三中学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西安市新城区咸宁中路151号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029-83230307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东方（西安）国际招标有限公司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西安市太白南路181号西部电子社区A座A区208-1室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王诗瑶、陈灏、张强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029-89585685-809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LED灯</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实塑地板、木质踢脚线、窗台板、墙面安装护墙板、窗帘、乳胶漆</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代理服务费收费标准：本项目采购代理服务费以采购项目的中标（成交）金额作为收费基数，参照国家计委颁布的《招标代理服务收费管理暂行办法》（计价格〔2002〕1980 号）和（发改办价格〔2003〕857 号）收费标准下浮20%，不足5000元的按照5000元收取。由（中标）成交供应商向采购代理机构一次性支付，具体收费金额以采购结果公示为准；此服务费应计入磋商报价中，不再单独开列。</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西安市第八十三中学</w:t>
      </w:r>
      <w:r>
        <w:rPr>
          <w:rFonts w:ascii="仿宋_GB2312" w:hAnsi="仿宋_GB2312" w:cs="仿宋_GB2312" w:eastAsia="仿宋_GB2312"/>
        </w:rPr>
        <w:t>和</w:t>
      </w:r>
      <w:r>
        <w:rPr>
          <w:rFonts w:ascii="仿宋_GB2312" w:hAnsi="仿宋_GB2312" w:cs="仿宋_GB2312" w:eastAsia="仿宋_GB2312"/>
        </w:rPr>
        <w:t>东方（西安）国际招标有限公司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西安市第八十三中学</w:t>
      </w:r>
      <w:r>
        <w:rPr>
          <w:rFonts w:ascii="仿宋_GB2312" w:hAnsi="仿宋_GB2312" w:cs="仿宋_GB2312" w:eastAsia="仿宋_GB2312"/>
        </w:rPr>
        <w:t>负责解释。除上述磋商文件内容，其他内容由</w:t>
      </w:r>
      <w:r>
        <w:rPr>
          <w:rFonts w:ascii="仿宋_GB2312" w:hAnsi="仿宋_GB2312" w:cs="仿宋_GB2312" w:eastAsia="仿宋_GB2312"/>
        </w:rPr>
        <w:t>东方（西安）国际招标有限公司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西安市第八十三中学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东方（西安）国际招标有限公司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联系人：王诗瑶、陈灏、张强</w:t>
      </w:r>
    </w:p>
    <w:p>
      <w:pPr>
        <w:pStyle w:val="null3"/>
      </w:pPr>
      <w:r>
        <w:rPr>
          <w:rFonts w:ascii="仿宋_GB2312" w:hAnsi="仿宋_GB2312" w:cs="仿宋_GB2312" w:eastAsia="仿宋_GB2312"/>
        </w:rPr>
        <w:t>联系电话：029-89585685-809</w:t>
      </w:r>
    </w:p>
    <w:p>
      <w:pPr>
        <w:pStyle w:val="null3"/>
      </w:pPr>
      <w:r>
        <w:rPr>
          <w:rFonts w:ascii="仿宋_GB2312" w:hAnsi="仿宋_GB2312" w:cs="仿宋_GB2312" w:eastAsia="仿宋_GB2312"/>
        </w:rPr>
        <w:t>地址：西安市雁塔区太白南路181号西部电子社区A座A区208-1</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330,000.00</w:t>
      </w:r>
    </w:p>
    <w:p>
      <w:pPr>
        <w:pStyle w:val="null3"/>
      </w:pPr>
      <w:r>
        <w:rPr>
          <w:rFonts w:ascii="仿宋_GB2312" w:hAnsi="仿宋_GB2312" w:cs="仿宋_GB2312" w:eastAsia="仿宋_GB2312"/>
        </w:rPr>
        <w:t>采购包最高限价（元）: 330,000.00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学校教学及辅助用房维修改造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330,000.00</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标的名称：学校教学及辅助用房维修改造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269"/>
              <w:gridCol w:w="472"/>
              <w:gridCol w:w="1064"/>
              <w:gridCol w:w="418"/>
              <w:gridCol w:w="322"/>
            </w:tblGrid>
            <w:tr>
              <w:tc>
                <w:tcPr>
                  <w:tcW w:type="dxa" w:w="269"/>
                  <w:vMerge w:val="restart"/>
                  <w:tcBorders>
                    <w:top w:val="single" w:color="000008" w:sz="4"/>
                    <w:left w:val="single" w:color="000008"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472"/>
                  <w:vMerge w:val="restart"/>
                  <w:tcBorders>
                    <w:top w:val="single" w:color="000008" w:sz="4"/>
                    <w:left w:val="none" w:color="000000" w:sz="4"/>
                    <w:bottom w:val="single" w:color="000008"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项目名称</w:t>
                  </w:r>
                </w:p>
              </w:tc>
              <w:tc>
                <w:tcPr>
                  <w:tcW w:type="dxa" w:w="1064"/>
                  <w:vMerge w:val="restart"/>
                  <w:tcBorders>
                    <w:top w:val="single" w:color="000008" w:sz="4"/>
                    <w:left w:val="single" w:color="000008"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项目特征</w:t>
                  </w:r>
                </w:p>
              </w:tc>
              <w:tc>
                <w:tcPr>
                  <w:tcW w:type="dxa" w:w="418"/>
                  <w:vMerge w:val="restart"/>
                  <w:tcBorders>
                    <w:top w:val="single" w:color="000008" w:sz="4"/>
                    <w:left w:val="none" w:color="000000"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计量单位</w:t>
                  </w:r>
                </w:p>
              </w:tc>
              <w:tc>
                <w:tcPr>
                  <w:tcW w:type="dxa" w:w="322"/>
                  <w:vMerge w:val="restart"/>
                  <w:tcBorders>
                    <w:top w:val="single" w:color="000008" w:sz="4"/>
                    <w:left w:val="none" w:color="000000"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工程数量</w:t>
                  </w:r>
                </w:p>
              </w:tc>
            </w:tr>
            <w:tr>
              <w:tc>
                <w:tcPr>
                  <w:tcW w:type="dxa" w:w="269"/>
                  <w:vMerge/>
                  <w:tcBorders>
                    <w:top w:val="single" w:color="000008" w:sz="4"/>
                    <w:left w:val="single" w:color="000008" w:sz="4"/>
                    <w:bottom w:val="single" w:color="000008" w:sz="4"/>
                    <w:right w:val="single" w:color="000008" w:sz="4"/>
                  </w:tcBorders>
                </w:tcPr>
                <w:p/>
              </w:tc>
              <w:tc>
                <w:tcPr>
                  <w:tcW w:type="dxa" w:w="472"/>
                  <w:vMerge/>
                  <w:tcBorders>
                    <w:top w:val="single" w:color="000008" w:sz="4"/>
                    <w:left w:val="none" w:color="000000" w:sz="4"/>
                    <w:bottom w:val="single" w:color="000008" w:sz="4"/>
                    <w:right w:val="none" w:color="000000" w:sz="4"/>
                  </w:tcBorders>
                </w:tcPr>
                <w:p/>
              </w:tc>
              <w:tc>
                <w:tcPr>
                  <w:tcW w:type="dxa" w:w="1064"/>
                  <w:vMerge/>
                  <w:tcBorders>
                    <w:top w:val="single" w:color="000008" w:sz="4"/>
                    <w:left w:val="single" w:color="000008" w:sz="4"/>
                    <w:bottom w:val="single" w:color="000008" w:sz="4"/>
                    <w:right w:val="single" w:color="000008" w:sz="4"/>
                  </w:tcBorders>
                </w:tcPr>
                <w:p/>
              </w:tc>
              <w:tc>
                <w:tcPr>
                  <w:tcW w:type="dxa" w:w="418"/>
                  <w:vMerge/>
                  <w:tcBorders>
                    <w:top w:val="single" w:color="000008" w:sz="4"/>
                    <w:left w:val="none" w:color="000000" w:sz="4"/>
                    <w:bottom w:val="single" w:color="000008" w:sz="4"/>
                    <w:right w:val="single" w:color="000008" w:sz="4"/>
                  </w:tcBorders>
                </w:tcPr>
                <w:p/>
              </w:tc>
              <w:tc>
                <w:tcPr>
                  <w:tcW w:type="dxa" w:w="322"/>
                  <w:vMerge/>
                  <w:tcBorders>
                    <w:top w:val="single" w:color="000008" w:sz="4"/>
                    <w:left w:val="none" w:color="000000" w:sz="4"/>
                    <w:bottom w:val="single" w:color="000008" w:sz="4"/>
                    <w:right w:val="single" w:color="000008" w:sz="4"/>
                  </w:tcBorders>
                </w:tcPr>
                <w:p/>
              </w:tc>
            </w:tr>
            <w:tr>
              <w:tc>
                <w:tcPr>
                  <w:tcW w:type="dxa" w:w="269"/>
                  <w:tcBorders>
                    <w:top w:val="none" w:color="000000" w:sz="4"/>
                    <w:left w:val="single" w:color="000008"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72"/>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灯具拆除</w:t>
                  </w:r>
                </w:p>
              </w:tc>
              <w:tc>
                <w:tcPr>
                  <w:tcW w:type="dxa" w:w="1064"/>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1.办公室内灯具拆除清理干净</w:t>
                  </w:r>
                </w:p>
              </w:tc>
              <w:tc>
                <w:tcPr>
                  <w:tcW w:type="dxa" w:w="418"/>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322"/>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202</w:t>
                  </w:r>
                </w:p>
              </w:tc>
            </w:tr>
            <w:tr>
              <w:tc>
                <w:tcPr>
                  <w:tcW w:type="dxa" w:w="269"/>
                  <w:tcBorders>
                    <w:top w:val="none" w:color="000000" w:sz="4"/>
                    <w:left w:val="single" w:color="000008"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72"/>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开关插座拆除</w:t>
                  </w:r>
                </w:p>
              </w:tc>
              <w:tc>
                <w:tcPr>
                  <w:tcW w:type="dxa" w:w="1064"/>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1.人工拆除开关插座</w:t>
                  </w:r>
                </w:p>
              </w:tc>
              <w:tc>
                <w:tcPr>
                  <w:tcW w:type="dxa" w:w="418"/>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322"/>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r>
            <w:tr>
              <w:tc>
                <w:tcPr>
                  <w:tcW w:type="dxa" w:w="269"/>
                  <w:tcBorders>
                    <w:top w:val="none" w:color="000000" w:sz="4"/>
                    <w:left w:val="single" w:color="000008"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72"/>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家具拆除搬运</w:t>
                  </w:r>
                </w:p>
              </w:tc>
              <w:tc>
                <w:tcPr>
                  <w:tcW w:type="dxa" w:w="1064"/>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1.原有家具拆除及搬运至指定位置</w:t>
                  </w:r>
                </w:p>
              </w:tc>
              <w:tc>
                <w:tcPr>
                  <w:tcW w:type="dxa" w:w="418"/>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22"/>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r>
            <w:tr>
              <w:tc>
                <w:tcPr>
                  <w:tcW w:type="dxa" w:w="269"/>
                  <w:tcBorders>
                    <w:top w:val="none" w:color="000000" w:sz="4"/>
                    <w:left w:val="single" w:color="000008"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72"/>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实塑地板</w:t>
                  </w:r>
                </w:p>
              </w:tc>
              <w:tc>
                <w:tcPr>
                  <w:tcW w:type="dxa" w:w="1064"/>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工程部位：办公室地面</w:t>
                  </w:r>
                  <w:r>
                    <w:br/>
                  </w:r>
                  <w:r>
                    <w:rPr>
                      <w:rFonts w:ascii="仿宋_GB2312" w:hAnsi="仿宋_GB2312" w:cs="仿宋_GB2312" w:eastAsia="仿宋_GB2312"/>
                      <w:sz w:val="20"/>
                      <w:color w:val="000000"/>
                    </w:rPr>
                    <w:t>工程做法：</w:t>
                  </w:r>
                  <w:r>
                    <w:rPr>
                      <w:rFonts w:ascii="仿宋_GB2312" w:hAnsi="仿宋_GB2312" w:cs="仿宋_GB2312" w:eastAsia="仿宋_GB2312"/>
                      <w:sz w:val="20"/>
                      <w:color w:val="000000"/>
                    </w:rPr>
                    <w:t>13J502-3   C/F04</w:t>
                  </w:r>
                  <w:r>
                    <w:br/>
                  </w:r>
                  <w:r>
                    <w:rPr>
                      <w:rFonts w:ascii="仿宋_GB2312" w:hAnsi="仿宋_GB2312" w:cs="仿宋_GB2312" w:eastAsia="仿宋_GB2312"/>
                      <w:sz w:val="20"/>
                      <w:color w:val="000000"/>
                    </w:rPr>
                    <w:t>1.泡沫塑料衬套</w:t>
                  </w:r>
                  <w:r>
                    <w:br/>
                  </w:r>
                  <w:r>
                    <w:rPr>
                      <w:rFonts w:ascii="仿宋_GB2312" w:hAnsi="仿宋_GB2312" w:cs="仿宋_GB2312" w:eastAsia="仿宋_GB2312"/>
                      <w:sz w:val="20"/>
                      <w:color w:val="000000"/>
                    </w:rPr>
                    <w:t>2.实塑地板铺装</w:t>
                  </w:r>
                  <w:r>
                    <w:br/>
                  </w:r>
                  <w:r>
                    <w:rPr>
                      <w:rFonts w:ascii="仿宋_GB2312" w:hAnsi="仿宋_GB2312" w:cs="仿宋_GB2312" w:eastAsia="仿宋_GB2312"/>
                      <w:sz w:val="20"/>
                      <w:color w:val="000000"/>
                    </w:rPr>
                    <w:t>3.8厚实塑地板衬板拼接，板间留2mm缝</w:t>
                  </w:r>
                  <w:r>
                    <w:br/>
                  </w:r>
                  <w:r>
                    <w:rPr>
                      <w:rFonts w:ascii="仿宋_GB2312" w:hAnsi="仿宋_GB2312" w:cs="仿宋_GB2312" w:eastAsia="仿宋_GB2312"/>
                      <w:sz w:val="20"/>
                      <w:color w:val="000000"/>
                    </w:rPr>
                    <w:t>4.胶粘橡胶弹性垫</w:t>
                  </w:r>
                </w:p>
              </w:tc>
              <w:tc>
                <w:tcPr>
                  <w:tcW w:type="dxa" w:w="418"/>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22"/>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625.5</w:t>
                  </w:r>
                </w:p>
              </w:tc>
            </w:tr>
            <w:tr>
              <w:tc>
                <w:tcPr>
                  <w:tcW w:type="dxa" w:w="269"/>
                  <w:tcBorders>
                    <w:top w:val="none" w:color="000000" w:sz="4"/>
                    <w:left w:val="single" w:color="000008"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72"/>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木质踢脚线</w:t>
                  </w:r>
                </w:p>
              </w:tc>
              <w:tc>
                <w:tcPr>
                  <w:tcW w:type="dxa" w:w="1064"/>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工程做法：</w:t>
                  </w:r>
                  <w:r>
                    <w:rPr>
                      <w:rFonts w:ascii="仿宋_GB2312" w:hAnsi="仿宋_GB2312" w:cs="仿宋_GB2312" w:eastAsia="仿宋_GB2312"/>
                      <w:sz w:val="20"/>
                      <w:color w:val="000000"/>
                    </w:rPr>
                    <w:t xml:space="preserve">13J502-3 </w:t>
                  </w:r>
                  <w:r>
                    <w:br/>
                  </w:r>
                  <w:r>
                    <w:rPr>
                      <w:rFonts w:ascii="仿宋_GB2312" w:hAnsi="仿宋_GB2312" w:cs="仿宋_GB2312" w:eastAsia="仿宋_GB2312"/>
                      <w:sz w:val="20"/>
                      <w:color w:val="000000"/>
                    </w:rPr>
                    <w:t>1.成品木踢脚安装</w:t>
                  </w:r>
                  <w:r>
                    <w:br/>
                  </w:r>
                  <w:r>
                    <w:rPr>
                      <w:rFonts w:ascii="仿宋_GB2312" w:hAnsi="仿宋_GB2312" w:cs="仿宋_GB2312" w:eastAsia="仿宋_GB2312"/>
                      <w:sz w:val="20"/>
                      <w:color w:val="000000"/>
                    </w:rPr>
                    <w:t>2.原墙体</w:t>
                  </w:r>
                </w:p>
              </w:tc>
              <w:tc>
                <w:tcPr>
                  <w:tcW w:type="dxa" w:w="418"/>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22"/>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583.44</w:t>
                  </w:r>
                </w:p>
              </w:tc>
            </w:tr>
            <w:tr>
              <w:tc>
                <w:tcPr>
                  <w:tcW w:type="dxa" w:w="269"/>
                  <w:tcBorders>
                    <w:top w:val="none" w:color="000000" w:sz="4"/>
                    <w:left w:val="single" w:color="000008"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72"/>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窗台板</w:t>
                  </w:r>
                </w:p>
              </w:tc>
              <w:tc>
                <w:tcPr>
                  <w:tcW w:type="dxa" w:w="1064"/>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1.人造石加工，加厚圆边安装</w:t>
                  </w:r>
                  <w:r>
                    <w:br/>
                  </w:r>
                  <w:r>
                    <w:rPr>
                      <w:rFonts w:ascii="仿宋_GB2312" w:hAnsi="仿宋_GB2312" w:cs="仿宋_GB2312" w:eastAsia="仿宋_GB2312"/>
                      <w:sz w:val="20"/>
                      <w:color w:val="000000"/>
                    </w:rPr>
                    <w:t>2.原窗户台面上结构胶固定</w:t>
                  </w:r>
                </w:p>
              </w:tc>
              <w:tc>
                <w:tcPr>
                  <w:tcW w:type="dxa" w:w="418"/>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22"/>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15.64</w:t>
                  </w:r>
                </w:p>
              </w:tc>
            </w:tr>
            <w:tr>
              <w:tc>
                <w:tcPr>
                  <w:tcW w:type="dxa" w:w="269"/>
                  <w:tcBorders>
                    <w:top w:val="none" w:color="000000" w:sz="4"/>
                    <w:left w:val="single" w:color="000008"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72"/>
                  <w:tcBorders>
                    <w:top w:val="none" w:color="000000" w:sz="4"/>
                    <w:left w:val="none" w:color="000000" w:sz="4"/>
                    <w:bottom w:val="single" w:color="000008"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墙面安装护墙板</w:t>
                  </w:r>
                </w:p>
              </w:tc>
              <w:tc>
                <w:tcPr>
                  <w:tcW w:type="dxa" w:w="1064"/>
                  <w:tcBorders>
                    <w:top w:val="none" w:color="000000" w:sz="4"/>
                    <w:left w:val="single" w:color="000008" w:sz="4"/>
                    <w:bottom w:val="single" w:color="000008" w:sz="4"/>
                    <w:right w:val="single" w:color="000008"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1.原墙面磁砖表面清理干净</w:t>
                  </w:r>
                  <w:r>
                    <w:br/>
                  </w:r>
                  <w:r>
                    <w:rPr>
                      <w:rFonts w:ascii="仿宋_GB2312" w:hAnsi="仿宋_GB2312" w:cs="仿宋_GB2312" w:eastAsia="仿宋_GB2312"/>
                      <w:sz w:val="20"/>
                      <w:color w:val="000000"/>
                    </w:rPr>
                    <w:t>2.安装8mm厚灰色护墙板</w:t>
                  </w:r>
                </w:p>
              </w:tc>
              <w:tc>
                <w:tcPr>
                  <w:tcW w:type="dxa" w:w="418"/>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22"/>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213</w:t>
                  </w:r>
                </w:p>
              </w:tc>
            </w:tr>
            <w:tr>
              <w:tc>
                <w:tcPr>
                  <w:tcW w:type="dxa" w:w="269"/>
                  <w:tcBorders>
                    <w:top w:val="none" w:color="000000" w:sz="4"/>
                    <w:left w:val="single" w:color="000008"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72"/>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窗帘轨及窗帘</w:t>
                  </w:r>
                </w:p>
              </w:tc>
              <w:tc>
                <w:tcPr>
                  <w:tcW w:type="dxa" w:w="1064"/>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1.定制加工布窗帘</w:t>
                  </w:r>
                  <w:r>
                    <w:br/>
                  </w:r>
                  <w:r>
                    <w:rPr>
                      <w:rFonts w:ascii="仿宋_GB2312" w:hAnsi="仿宋_GB2312" w:cs="仿宋_GB2312" w:eastAsia="仿宋_GB2312"/>
                      <w:sz w:val="20"/>
                      <w:color w:val="000000"/>
                    </w:rPr>
                    <w:t>2.原窗洞口尺寸</w:t>
                  </w:r>
                </w:p>
              </w:tc>
              <w:tc>
                <w:tcPr>
                  <w:tcW w:type="dxa" w:w="418"/>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22"/>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412.61</w:t>
                  </w:r>
                </w:p>
              </w:tc>
            </w:tr>
            <w:tr>
              <w:tc>
                <w:tcPr>
                  <w:tcW w:type="dxa" w:w="269"/>
                  <w:tcBorders>
                    <w:top w:val="none" w:color="000000" w:sz="4"/>
                    <w:left w:val="single" w:color="000008"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72"/>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墙面喷刷乳胶漆</w:t>
                  </w:r>
                </w:p>
              </w:tc>
              <w:tc>
                <w:tcPr>
                  <w:tcW w:type="dxa" w:w="1064"/>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工程部位：办公室墙面</w:t>
                  </w:r>
                  <w:r>
                    <w:br/>
                  </w:r>
                  <w:r>
                    <w:rPr>
                      <w:rFonts w:ascii="仿宋_GB2312" w:hAnsi="仿宋_GB2312" w:cs="仿宋_GB2312" w:eastAsia="仿宋_GB2312"/>
                      <w:sz w:val="20"/>
                      <w:color w:val="000000"/>
                    </w:rPr>
                    <w:t>1、满刮腻子两遍</w:t>
                  </w:r>
                  <w:r>
                    <w:br/>
                  </w:r>
                  <w:r>
                    <w:rPr>
                      <w:rFonts w:ascii="仿宋_GB2312" w:hAnsi="仿宋_GB2312" w:cs="仿宋_GB2312" w:eastAsia="仿宋_GB2312"/>
                      <w:sz w:val="20"/>
                      <w:color w:val="000000"/>
                    </w:rPr>
                    <w:t>2、白色乳胶漆两道</w:t>
                  </w:r>
                </w:p>
              </w:tc>
              <w:tc>
                <w:tcPr>
                  <w:tcW w:type="dxa" w:w="418"/>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22"/>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2620</w:t>
                  </w:r>
                </w:p>
              </w:tc>
            </w:tr>
            <w:tr>
              <w:tc>
                <w:tcPr>
                  <w:tcW w:type="dxa" w:w="269"/>
                  <w:tcBorders>
                    <w:top w:val="none" w:color="000000" w:sz="4"/>
                    <w:left w:val="single" w:color="000008"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72"/>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天棚喷刷乳胶漆</w:t>
                  </w:r>
                </w:p>
              </w:tc>
              <w:tc>
                <w:tcPr>
                  <w:tcW w:type="dxa" w:w="1064"/>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工程部位：办公室天棚</w:t>
                  </w:r>
                  <w:r>
                    <w:br/>
                  </w:r>
                  <w:r>
                    <w:rPr>
                      <w:rFonts w:ascii="仿宋_GB2312" w:hAnsi="仿宋_GB2312" w:cs="仿宋_GB2312" w:eastAsia="仿宋_GB2312"/>
                      <w:sz w:val="20"/>
                      <w:color w:val="000000"/>
                    </w:rPr>
                    <w:t>1、满刮腻子两遍</w:t>
                  </w:r>
                  <w:r>
                    <w:br/>
                  </w:r>
                  <w:r>
                    <w:rPr>
                      <w:rFonts w:ascii="仿宋_GB2312" w:hAnsi="仿宋_GB2312" w:cs="仿宋_GB2312" w:eastAsia="仿宋_GB2312"/>
                      <w:sz w:val="20"/>
                      <w:color w:val="000000"/>
                    </w:rPr>
                    <w:t>2、白色乳胶漆两道</w:t>
                  </w:r>
                </w:p>
              </w:tc>
              <w:tc>
                <w:tcPr>
                  <w:tcW w:type="dxa" w:w="418"/>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22"/>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892.76</w:t>
                  </w:r>
                </w:p>
              </w:tc>
            </w:tr>
            <w:tr>
              <w:tc>
                <w:tcPr>
                  <w:tcW w:type="dxa" w:w="269"/>
                  <w:tcBorders>
                    <w:top w:val="none" w:color="000000" w:sz="4"/>
                    <w:left w:val="single" w:color="000008"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72"/>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配电箱</w:t>
                  </w:r>
                  <w:r>
                    <w:rPr>
                      <w:rFonts w:ascii="仿宋_GB2312" w:hAnsi="仿宋_GB2312" w:cs="仿宋_GB2312" w:eastAsia="仿宋_GB2312"/>
                      <w:sz w:val="20"/>
                      <w:color w:val="000000"/>
                    </w:rPr>
                    <w:t></w:t>
                  </w:r>
                </w:p>
              </w:tc>
              <w:tc>
                <w:tcPr>
                  <w:tcW w:type="dxa" w:w="1064"/>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1.名称、型号:配电箱</w:t>
                  </w:r>
                  <w:r>
                    <w:br/>
                  </w:r>
                  <w:r>
                    <w:rPr>
                      <w:rFonts w:ascii="仿宋_GB2312" w:hAnsi="仿宋_GB2312" w:cs="仿宋_GB2312" w:eastAsia="仿宋_GB2312"/>
                      <w:sz w:val="20"/>
                      <w:color w:val="000000"/>
                    </w:rPr>
                    <w:t>2.规格:500x300x200</w:t>
                  </w:r>
                  <w:r>
                    <w:br/>
                  </w:r>
                  <w:r>
                    <w:rPr>
                      <w:rFonts w:ascii="仿宋_GB2312" w:hAnsi="仿宋_GB2312" w:cs="仿宋_GB2312" w:eastAsia="仿宋_GB2312"/>
                      <w:sz w:val="20"/>
                      <w:color w:val="000000"/>
                    </w:rPr>
                    <w:t>3.安装方式:底边距地1.5m，挂墙暗装</w:t>
                  </w:r>
                </w:p>
              </w:tc>
              <w:tc>
                <w:tcPr>
                  <w:tcW w:type="dxa" w:w="418"/>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22"/>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r>
            <w:tr>
              <w:tc>
                <w:tcPr>
                  <w:tcW w:type="dxa" w:w="269"/>
                  <w:tcBorders>
                    <w:top w:val="none" w:color="000000" w:sz="4"/>
                    <w:left w:val="single" w:color="000008"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72"/>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电气配管</w:t>
                  </w:r>
                  <w:r>
                    <w:rPr>
                      <w:rFonts w:ascii="仿宋_GB2312" w:hAnsi="仿宋_GB2312" w:cs="仿宋_GB2312" w:eastAsia="仿宋_GB2312"/>
                      <w:sz w:val="20"/>
                      <w:color w:val="000000"/>
                    </w:rPr>
                    <w:t></w:t>
                  </w:r>
                </w:p>
              </w:tc>
              <w:tc>
                <w:tcPr>
                  <w:tcW w:type="dxa" w:w="1064"/>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1.名称:塑料线管</w:t>
                  </w:r>
                  <w:r>
                    <w:br/>
                  </w:r>
                  <w:r>
                    <w:rPr>
                      <w:rFonts w:ascii="仿宋_GB2312" w:hAnsi="仿宋_GB2312" w:cs="仿宋_GB2312" w:eastAsia="仿宋_GB2312"/>
                      <w:sz w:val="20"/>
                      <w:color w:val="000000"/>
                    </w:rPr>
                    <w:t>2.规格:DN20</w:t>
                  </w:r>
                </w:p>
              </w:tc>
              <w:tc>
                <w:tcPr>
                  <w:tcW w:type="dxa" w:w="418"/>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22"/>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535</w:t>
                  </w:r>
                </w:p>
              </w:tc>
            </w:tr>
            <w:tr>
              <w:tc>
                <w:tcPr>
                  <w:tcW w:type="dxa" w:w="269"/>
                  <w:tcBorders>
                    <w:top w:val="none" w:color="000000" w:sz="4"/>
                    <w:left w:val="single" w:color="000008"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472"/>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配线</w:t>
                  </w:r>
                  <w:r>
                    <w:rPr>
                      <w:rFonts w:ascii="仿宋_GB2312" w:hAnsi="仿宋_GB2312" w:cs="仿宋_GB2312" w:eastAsia="仿宋_GB2312"/>
                      <w:sz w:val="20"/>
                      <w:color w:val="000000"/>
                    </w:rPr>
                    <w:t>BV4mm2</w:t>
                  </w:r>
                </w:p>
              </w:tc>
              <w:tc>
                <w:tcPr>
                  <w:tcW w:type="dxa" w:w="1064"/>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1.配线形式:管内穿线</w:t>
                  </w:r>
                  <w:r>
                    <w:br/>
                  </w:r>
                  <w:r>
                    <w:rPr>
                      <w:rFonts w:ascii="仿宋_GB2312" w:hAnsi="仿宋_GB2312" w:cs="仿宋_GB2312" w:eastAsia="仿宋_GB2312"/>
                      <w:sz w:val="20"/>
                      <w:color w:val="000000"/>
                    </w:rPr>
                    <w:t>2.导线型号、材质、规格:BV4</w:t>
                  </w:r>
                </w:p>
              </w:tc>
              <w:tc>
                <w:tcPr>
                  <w:tcW w:type="dxa" w:w="418"/>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22"/>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1046</w:t>
                  </w:r>
                </w:p>
              </w:tc>
            </w:tr>
            <w:tr>
              <w:tc>
                <w:tcPr>
                  <w:tcW w:type="dxa" w:w="269"/>
                  <w:tcBorders>
                    <w:top w:val="none" w:color="000000" w:sz="4"/>
                    <w:left w:val="single" w:color="000008"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472"/>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配线</w:t>
                  </w:r>
                  <w:r>
                    <w:rPr>
                      <w:rFonts w:ascii="仿宋_GB2312" w:hAnsi="仿宋_GB2312" w:cs="仿宋_GB2312" w:eastAsia="仿宋_GB2312"/>
                      <w:sz w:val="20"/>
                      <w:color w:val="000000"/>
                    </w:rPr>
                    <w:t>BV2.5mm2</w:t>
                  </w:r>
                </w:p>
              </w:tc>
              <w:tc>
                <w:tcPr>
                  <w:tcW w:type="dxa" w:w="1064"/>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1.配线形式:管内穿线</w:t>
                  </w:r>
                  <w:r>
                    <w:br/>
                  </w:r>
                  <w:r>
                    <w:rPr>
                      <w:rFonts w:ascii="仿宋_GB2312" w:hAnsi="仿宋_GB2312" w:cs="仿宋_GB2312" w:eastAsia="仿宋_GB2312"/>
                      <w:sz w:val="20"/>
                      <w:color w:val="000000"/>
                    </w:rPr>
                    <w:t>2.导线型号、材质、规格:BV2.5</w:t>
                  </w:r>
                </w:p>
              </w:tc>
              <w:tc>
                <w:tcPr>
                  <w:tcW w:type="dxa" w:w="418"/>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22"/>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1287</w:t>
                  </w:r>
                </w:p>
              </w:tc>
            </w:tr>
            <w:tr>
              <w:tc>
                <w:tcPr>
                  <w:tcW w:type="dxa" w:w="269"/>
                  <w:tcBorders>
                    <w:top w:val="none" w:color="000000" w:sz="4"/>
                    <w:left w:val="single" w:color="000008"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472"/>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暗装双联开关</w:t>
                  </w:r>
                </w:p>
              </w:tc>
              <w:tc>
                <w:tcPr>
                  <w:tcW w:type="dxa" w:w="1064"/>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1.名称：暗装开关</w:t>
                  </w:r>
                  <w:r>
                    <w:br/>
                  </w:r>
                  <w:r>
                    <w:rPr>
                      <w:rFonts w:ascii="仿宋_GB2312" w:hAnsi="仿宋_GB2312" w:cs="仿宋_GB2312" w:eastAsia="仿宋_GB2312"/>
                      <w:sz w:val="20"/>
                      <w:color w:val="000000"/>
                    </w:rPr>
                    <w:t>2.型号:250V~10A</w:t>
                  </w:r>
                  <w:r>
                    <w:br/>
                  </w:r>
                  <w:r>
                    <w:rPr>
                      <w:rFonts w:ascii="仿宋_GB2312" w:hAnsi="仿宋_GB2312" w:cs="仿宋_GB2312" w:eastAsia="仿宋_GB2312"/>
                      <w:sz w:val="20"/>
                      <w:color w:val="000000"/>
                    </w:rPr>
                    <w:t>3.安装方式:距地1.3m暗装</w:t>
                  </w:r>
                </w:p>
              </w:tc>
              <w:tc>
                <w:tcPr>
                  <w:tcW w:type="dxa" w:w="418"/>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22"/>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r>
            <w:tr>
              <w:tc>
                <w:tcPr>
                  <w:tcW w:type="dxa" w:w="269"/>
                  <w:tcBorders>
                    <w:top w:val="none" w:color="000000" w:sz="4"/>
                    <w:left w:val="single" w:color="000008"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472"/>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暗装五孔插座</w:t>
                  </w:r>
                </w:p>
              </w:tc>
              <w:tc>
                <w:tcPr>
                  <w:tcW w:type="dxa" w:w="1064"/>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1.名称:普通插座</w:t>
                  </w:r>
                  <w:r>
                    <w:br/>
                  </w:r>
                  <w:r>
                    <w:rPr>
                      <w:rFonts w:ascii="仿宋_GB2312" w:hAnsi="仿宋_GB2312" w:cs="仿宋_GB2312" w:eastAsia="仿宋_GB2312"/>
                      <w:sz w:val="20"/>
                      <w:color w:val="000000"/>
                    </w:rPr>
                    <w:t>2.型号:安全五孔型 250V~10A</w:t>
                  </w:r>
                  <w:r>
                    <w:br/>
                  </w:r>
                  <w:r>
                    <w:rPr>
                      <w:rFonts w:ascii="仿宋_GB2312" w:hAnsi="仿宋_GB2312" w:cs="仿宋_GB2312" w:eastAsia="仿宋_GB2312"/>
                      <w:sz w:val="20"/>
                      <w:color w:val="000000"/>
                    </w:rPr>
                    <w:t>3.安装高度:距地0.3m暗装</w:t>
                  </w:r>
                </w:p>
              </w:tc>
              <w:tc>
                <w:tcPr>
                  <w:tcW w:type="dxa" w:w="418"/>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22"/>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214</w:t>
                  </w:r>
                </w:p>
              </w:tc>
            </w:tr>
            <w:tr>
              <w:tc>
                <w:tcPr>
                  <w:tcW w:type="dxa" w:w="269"/>
                  <w:tcBorders>
                    <w:top w:val="none" w:color="000000" w:sz="4"/>
                    <w:left w:val="single" w:color="000008"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472"/>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LED护眼灯</w:t>
                  </w:r>
                </w:p>
              </w:tc>
              <w:tc>
                <w:tcPr>
                  <w:tcW w:type="dxa" w:w="1064"/>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1.名称:LED护眼灯</w:t>
                  </w:r>
                  <w:r>
                    <w:br/>
                  </w:r>
                  <w:r>
                    <w:rPr>
                      <w:rFonts w:ascii="仿宋_GB2312" w:hAnsi="仿宋_GB2312" w:cs="仿宋_GB2312" w:eastAsia="仿宋_GB2312"/>
                      <w:sz w:val="20"/>
                      <w:color w:val="000000"/>
                    </w:rPr>
                    <w:t>2.型号:LED光源：32W</w:t>
                  </w:r>
                  <w:r>
                    <w:br/>
                  </w:r>
                  <w:r>
                    <w:rPr>
                      <w:rFonts w:ascii="仿宋_GB2312" w:hAnsi="仿宋_GB2312" w:cs="仿宋_GB2312" w:eastAsia="仿宋_GB2312"/>
                      <w:sz w:val="20"/>
                      <w:color w:val="000000"/>
                    </w:rPr>
                    <w:t>3.安装高度:距地吊装2.3m</w:t>
                  </w:r>
                  <w:r>
                    <w:br/>
                  </w:r>
                  <w:r>
                    <w:rPr>
                      <w:rFonts w:ascii="仿宋_GB2312" w:hAnsi="仿宋_GB2312" w:cs="仿宋_GB2312" w:eastAsia="仿宋_GB2312"/>
                      <w:sz w:val="20"/>
                      <w:color w:val="000000"/>
                    </w:rPr>
                    <w:t>4.只计安装，灯具甲供</w:t>
                  </w:r>
                </w:p>
              </w:tc>
              <w:tc>
                <w:tcPr>
                  <w:tcW w:type="dxa" w:w="418"/>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22"/>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202</w:t>
                  </w: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以磋商文件或采购人要求为准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（一）具有独立承担民事责任的能力：提供有效的营业执照或事业单位法人证书或民办非企业单位登记证书或社会团体法人登记证书或自然人的身份证明； （二）具有履行合同所必需的设备和专业技术能力：提供书面声明； （三）具有依法缴纳税收的良好记录：1.提供2025年1月（含1月）以来任意一个月的依法缴纳税收的相关凭据（时间以税款所属时期为准），凭据应有税务机关或代收机关的公章或业务专用章。2.依法免税或无须缴纳税收的供应商，应提供相应证明文件；（以上两种形式的资料提供任何一种即可）； （四）具有依法缴纳社会保障资金的良好记录：1.提供2025年1月（含1月）以来任意一个月的社会保障资金缴存单据或社保机构开具的社会保险参保缴费情况证明。2.依法不需要缴纳社会保障资金的供应商应提供相关文件证明；（以上两种形式的资料提供任何一种即可）； （五）参加政府采购活动前三年内，在经营活动中没有重大违法记录：提供书面声明。</w:t>
            </w:r>
          </w:p>
        </w:tc>
        <w:tc>
          <w:tcPr>
            <w:tcW w:type="dxa" w:w="1661"/>
          </w:tcPr>
          <w:p>
            <w:pPr>
              <w:pStyle w:val="null3"/>
            </w:pPr>
            <w:r>
              <w:rPr>
                <w:rFonts w:ascii="仿宋_GB2312" w:hAnsi="仿宋_GB2312" w:cs="仿宋_GB2312" w:eastAsia="仿宋_GB2312"/>
              </w:rPr>
              <w:t>供应商资格要求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1.供应商提供2025年度经审计完整的财务审计报告（成立时间至提交响应文件截止时间不足一年的可提供成立后任意时段的资产负债表），2.或其响应文件递交截止时间前六个月内银行出具的资信证明，3.或财政部门认可的政府采购专业担保机构出具的投标担保函；（以上三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供应商资格要求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供应商资格要求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法定代表人委托授权书</w:t>
            </w:r>
          </w:p>
        </w:tc>
        <w:tc>
          <w:tcPr>
            <w:tcW w:type="dxa" w:w="3322"/>
          </w:tcPr>
          <w:p>
            <w:pPr>
              <w:pStyle w:val="null3"/>
            </w:pPr>
            <w:r>
              <w:rPr>
                <w:rFonts w:ascii="仿宋_GB2312" w:hAnsi="仿宋_GB2312" w:cs="仿宋_GB2312" w:eastAsia="仿宋_GB2312"/>
              </w:rPr>
              <w:t>法定代表人直接参加的须提交法定代表人证明书；法定代表人授权代表参加的，提供法定代表人授权书（附法定代表人、授权代表身份证复印件）。</w:t>
            </w:r>
          </w:p>
        </w:tc>
        <w:tc>
          <w:tcPr>
            <w:tcW w:type="dxa" w:w="1661"/>
          </w:tcPr>
          <w:p>
            <w:pPr>
              <w:pStyle w:val="null3"/>
            </w:pPr>
            <w:r>
              <w:rPr>
                <w:rFonts w:ascii="仿宋_GB2312" w:hAnsi="仿宋_GB2312" w:cs="仿宋_GB2312" w:eastAsia="仿宋_GB2312"/>
              </w:rPr>
              <w:t>供应商资格要求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供应商具备建筑装修装饰工程专业承包二级或以上资质，且具备合格有效的安全生产许可证。</w:t>
            </w:r>
          </w:p>
        </w:tc>
        <w:tc>
          <w:tcPr>
            <w:tcW w:type="dxa" w:w="1661"/>
          </w:tcPr>
          <w:p>
            <w:pPr>
              <w:pStyle w:val="null3"/>
            </w:pPr>
            <w:r>
              <w:rPr>
                <w:rFonts w:ascii="仿宋_GB2312" w:hAnsi="仿宋_GB2312" w:cs="仿宋_GB2312" w:eastAsia="仿宋_GB2312"/>
              </w:rPr>
              <w:t>供应商资格要求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拟派项目经理具有建筑工程专业二级或以上注册建造师资格，具有有效的安全生产考核合格证（B级），在本单位注册，且未担任其他在建项目的项目经理（提供承诺书）。</w:t>
            </w:r>
          </w:p>
        </w:tc>
        <w:tc>
          <w:tcPr>
            <w:tcW w:type="dxa" w:w="1661"/>
          </w:tcPr>
          <w:p>
            <w:pPr>
              <w:pStyle w:val="null3"/>
            </w:pPr>
            <w:r>
              <w:rPr>
                <w:rFonts w:ascii="仿宋_GB2312" w:hAnsi="仿宋_GB2312" w:cs="仿宋_GB2312" w:eastAsia="仿宋_GB2312"/>
              </w:rPr>
              <w:t>供应商资格要求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响应文件封面 供应商资格要求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分项报价表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响应报价超过采购预算或者最高限价的将否决其磋商资格。</w:t>
            </w:r>
          </w:p>
        </w:tc>
        <w:tc>
          <w:tcPr>
            <w:tcW w:type="dxa" w:w="1661"/>
          </w:tcPr>
          <w:p>
            <w:pPr>
              <w:pStyle w:val="null3"/>
            </w:pPr>
            <w:r>
              <w:rPr>
                <w:rFonts w:ascii="仿宋_GB2312" w:hAnsi="仿宋_GB2312" w:cs="仿宋_GB2312" w:eastAsia="仿宋_GB2312"/>
              </w:rPr>
              <w:t>已标价工程量清单 分项报价表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响应文件有效期应满足磋商文件要求，不满足的否决其磋商资格。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响应文件含有采购人不能接受的附加条件的或关键性商务条款负偏离磋商要求的（付款方式、工期、质保期），将否决其磋商资格。</w:t>
            </w:r>
          </w:p>
        </w:tc>
        <w:tc>
          <w:tcPr>
            <w:tcW w:type="dxa" w:w="1661"/>
          </w:tcPr>
          <w:p>
            <w:pPr>
              <w:pStyle w:val="null3"/>
            </w:pPr>
            <w:r>
              <w:rPr>
                <w:rFonts w:ascii="仿宋_GB2312" w:hAnsi="仿宋_GB2312" w:cs="仿宋_GB2312" w:eastAsia="仿宋_GB2312"/>
              </w:rPr>
              <w:t>技术服务合同条款及其他商务要求应答表 商务条款偏离表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节能、环保产品承诺</w:t>
            </w:r>
          </w:p>
        </w:tc>
        <w:tc>
          <w:tcPr>
            <w:tcW w:type="dxa" w:w="3322"/>
          </w:tcPr>
          <w:p>
            <w:pPr>
              <w:pStyle w:val="null3"/>
            </w:pPr>
            <w:r>
              <w:rPr>
                <w:rFonts w:ascii="仿宋_GB2312" w:hAnsi="仿宋_GB2312" w:cs="仿宋_GB2312" w:eastAsia="仿宋_GB2312"/>
              </w:rPr>
              <w:t>本项目涉及《财政部 发展改革委 生态环境部 市场监管总局 关于调整优化节能产品、环境标志产品政府采购执行机制的通知》（财库〔2019〕9号）所规定的需强制采购或优先采购的节能产品、环境标志产品的，供应商须承诺按照上述要求提供产品及材料。未提供承诺的将否决其磋商资格。</w:t>
            </w:r>
          </w:p>
        </w:tc>
        <w:tc>
          <w:tcPr>
            <w:tcW w:type="dxa" w:w="1661"/>
          </w:tcPr>
          <w:p>
            <w:pPr>
              <w:pStyle w:val="null3"/>
            </w:pPr>
            <w:r>
              <w:rPr>
                <w:rFonts w:ascii="仿宋_GB2312" w:hAnsi="仿宋_GB2312" w:cs="仿宋_GB2312" w:eastAsia="仿宋_GB2312"/>
              </w:rPr>
              <w:t>节能、环保产品承诺</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施工组织计划</w:t>
            </w:r>
          </w:p>
        </w:tc>
        <w:tc>
          <w:tcPr>
            <w:tcW w:type="dxa" w:w="2492"/>
          </w:tcPr>
          <w:p>
            <w:pPr>
              <w:pStyle w:val="null3"/>
            </w:pPr>
            <w:r>
              <w:rPr>
                <w:rFonts w:ascii="仿宋_GB2312" w:hAnsi="仿宋_GB2312" w:cs="仿宋_GB2312" w:eastAsia="仿宋_GB2312"/>
              </w:rPr>
              <w:t>1.整体施工组织计划详细、符合项目特点及要求，各专业施工工艺及技术措施科学合理，得9分； 2.整体施工组织计划较详细、满足项目要求，各专业施工工艺及技术措施科学合理，得6分； 3.整体施工组织计划较为详细、可以满足项目要求，得3分； 4.整体施工组织计划描述简单、可以满足项目要求、可行，得1分； 5.未提供不得分0分。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施工组织计划</w:t>
            </w:r>
          </w:p>
        </w:tc>
      </w:tr>
      <w:tr>
        <w:tc>
          <w:tcPr>
            <w:tcW w:type="dxa" w:w="831"/>
            <w:vMerge/>
          </w:tcPr>
          <w:p/>
        </w:tc>
        <w:tc>
          <w:tcPr>
            <w:tcW w:type="dxa" w:w="1661"/>
          </w:tcPr>
          <w:p>
            <w:pPr>
              <w:pStyle w:val="null3"/>
            </w:pPr>
            <w:r>
              <w:rPr>
                <w:rFonts w:ascii="仿宋_GB2312" w:hAnsi="仿宋_GB2312" w:cs="仿宋_GB2312" w:eastAsia="仿宋_GB2312"/>
              </w:rPr>
              <w:t>施工管理方案</w:t>
            </w:r>
          </w:p>
        </w:tc>
        <w:tc>
          <w:tcPr>
            <w:tcW w:type="dxa" w:w="2492"/>
          </w:tcPr>
          <w:p>
            <w:pPr>
              <w:pStyle w:val="null3"/>
            </w:pPr>
            <w:r>
              <w:rPr>
                <w:rFonts w:ascii="仿宋_GB2312" w:hAnsi="仿宋_GB2312" w:cs="仿宋_GB2312" w:eastAsia="仿宋_GB2312"/>
              </w:rPr>
              <w:t>包括但不限于施工现场的人员管理、材料堆放、设备维护、环境卫生等方面： 1.管理方案切实可行、细致严谨、科学合理、管理思路清晰得9分； 2.管理方案基本可行、较为严谨、比较合理，管理思路基本清晰得6分； 3.管理方案可行性差，缺乏严谨性和合理性，管理思路混乱的3分； 4.未提供不得分。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施工管理方案</w:t>
            </w:r>
          </w:p>
        </w:tc>
      </w:tr>
      <w:tr>
        <w:tc>
          <w:tcPr>
            <w:tcW w:type="dxa" w:w="831"/>
            <w:vMerge/>
          </w:tcPr>
          <w:p/>
        </w:tc>
        <w:tc>
          <w:tcPr>
            <w:tcW w:type="dxa" w:w="1661"/>
          </w:tcPr>
          <w:p>
            <w:pPr>
              <w:pStyle w:val="null3"/>
            </w:pPr>
            <w:r>
              <w:rPr>
                <w:rFonts w:ascii="仿宋_GB2312" w:hAnsi="仿宋_GB2312" w:cs="仿宋_GB2312" w:eastAsia="仿宋_GB2312"/>
              </w:rPr>
              <w:t>原材料采购方案</w:t>
            </w:r>
          </w:p>
        </w:tc>
        <w:tc>
          <w:tcPr>
            <w:tcW w:type="dxa" w:w="2492"/>
          </w:tcPr>
          <w:p>
            <w:pPr>
              <w:pStyle w:val="null3"/>
            </w:pPr>
            <w:r>
              <w:rPr>
                <w:rFonts w:ascii="仿宋_GB2312" w:hAnsi="仿宋_GB2312" w:cs="仿宋_GB2312" w:eastAsia="仿宋_GB2312"/>
              </w:rPr>
              <w:t>1.方案内容详实、全面，明确了原材料的种类、采购渠道、价格控制措施等关键环节，且措施具体可行，具有较强的可操作性和风险防范能力得6分； 2.方案内容基本完整，对原材料采购的主要方面有所涉及，部分措施不够具体得3分； 3.方案内容简单笼统，缺乏对原材料采购关键环 节的明确规划和具体措施得1分； 4.未提供不得分。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原材料采购方案</w:t>
            </w:r>
          </w:p>
        </w:tc>
      </w:tr>
      <w:tr>
        <w:tc>
          <w:tcPr>
            <w:tcW w:type="dxa" w:w="831"/>
            <w:vMerge/>
          </w:tcPr>
          <w:p/>
        </w:tc>
        <w:tc>
          <w:tcPr>
            <w:tcW w:type="dxa" w:w="1661"/>
          </w:tcPr>
          <w:p>
            <w:pPr>
              <w:pStyle w:val="null3"/>
            </w:pPr>
            <w:r>
              <w:rPr>
                <w:rFonts w:ascii="仿宋_GB2312" w:hAnsi="仿宋_GB2312" w:cs="仿宋_GB2312" w:eastAsia="仿宋_GB2312"/>
              </w:rPr>
              <w:t>应急实施方案</w:t>
            </w:r>
          </w:p>
        </w:tc>
        <w:tc>
          <w:tcPr>
            <w:tcW w:type="dxa" w:w="2492"/>
          </w:tcPr>
          <w:p>
            <w:pPr>
              <w:pStyle w:val="null3"/>
            </w:pPr>
            <w:r>
              <w:rPr>
                <w:rFonts w:ascii="仿宋_GB2312" w:hAnsi="仿宋_GB2312" w:cs="仿宋_GB2312" w:eastAsia="仿宋_GB2312"/>
              </w:rPr>
              <w:t>1.方案内容全面、科学合理，措施具体明确且具有很强的可操作性和有效性，能够全面覆盖应急项目的所有关键环节得6分； 2.方案内容较为完整，措施相对具体，具备一定的可操作性和有效性，能够覆盖应急项目的主要方面得4分； 3.方案内容基本完整，但部分关键环节覆盖不全，措施较为笼统，可操作性和有效性一般得2分； 4.方案内容残缺不全，对应急项目的关键环节几乎没有涉及，措施空洞，不具备可操作性和有效性得1分； 5.未提供不得分。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应急实施方案</w:t>
            </w:r>
          </w:p>
        </w:tc>
      </w:tr>
      <w:tr>
        <w:tc>
          <w:tcPr>
            <w:tcW w:type="dxa" w:w="831"/>
            <w:vMerge/>
          </w:tcPr>
          <w:p/>
        </w:tc>
        <w:tc>
          <w:tcPr>
            <w:tcW w:type="dxa" w:w="1661"/>
          </w:tcPr>
          <w:p>
            <w:pPr>
              <w:pStyle w:val="null3"/>
            </w:pPr>
            <w:r>
              <w:rPr>
                <w:rFonts w:ascii="仿宋_GB2312" w:hAnsi="仿宋_GB2312" w:cs="仿宋_GB2312" w:eastAsia="仿宋_GB2312"/>
              </w:rPr>
              <w:t>安全文明施工现场管理</w:t>
            </w:r>
          </w:p>
        </w:tc>
        <w:tc>
          <w:tcPr>
            <w:tcW w:type="dxa" w:w="2492"/>
          </w:tcPr>
          <w:p>
            <w:pPr>
              <w:pStyle w:val="null3"/>
            </w:pPr>
            <w:r>
              <w:rPr>
                <w:rFonts w:ascii="仿宋_GB2312" w:hAnsi="仿宋_GB2312" w:cs="仿宋_GB2312" w:eastAsia="仿宋_GB2312"/>
              </w:rPr>
              <w:t>对供应商提供的安全管理制度、文明施工管理制度、人员管理制度、安全文明施工管理体系进行评审： 1.制度完善、合理，有针对性的得7分； 2.制度较完善、合理的得4分； 3.制度不完善的得1分； 4.未提供不得分。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安全文明施工现场管理</w:t>
            </w:r>
          </w:p>
        </w:tc>
      </w:tr>
      <w:tr>
        <w:tc>
          <w:tcPr>
            <w:tcW w:type="dxa" w:w="831"/>
            <w:vMerge/>
          </w:tcPr>
          <w:p/>
        </w:tc>
        <w:tc>
          <w:tcPr>
            <w:tcW w:type="dxa" w:w="1661"/>
          </w:tcPr>
          <w:p>
            <w:pPr>
              <w:pStyle w:val="null3"/>
            </w:pPr>
            <w:r>
              <w:rPr>
                <w:rFonts w:ascii="仿宋_GB2312" w:hAnsi="仿宋_GB2312" w:cs="仿宋_GB2312" w:eastAsia="仿宋_GB2312"/>
              </w:rPr>
              <w:t>工程质量保证体系和技术措施</w:t>
            </w:r>
          </w:p>
        </w:tc>
        <w:tc>
          <w:tcPr>
            <w:tcW w:type="dxa" w:w="2492"/>
          </w:tcPr>
          <w:p>
            <w:pPr>
              <w:pStyle w:val="null3"/>
            </w:pPr>
            <w:r>
              <w:rPr>
                <w:rFonts w:ascii="仿宋_GB2312" w:hAnsi="仿宋_GB2312" w:cs="仿宋_GB2312" w:eastAsia="仿宋_GB2312"/>
              </w:rPr>
              <w:t>对供应商提供的工程质量保证体系和技术措施进行评审： 1.质量管理体系健全，具有完整、可行的质量保证体系和质量控制措施，且主要工程和关键部位的技术措施和施工方法明确，主要材料设备质量标准明确、质量控制措施合理、质量溯源及保证措施合理，有满足工程质量检测要求的设备的得5分； 2.质量管理体系基本健全，具有较完整、可行的质量保证体系和质量控制措施，且主要工程和关键部位的技术措施和施工方法基本明确，主要材料设备质量标准基本明确、质量控制措施基本合理、质量溯源及保证措施基本合理的得3分； 3.质量管理体系基本健全，具有较完整、可行的质量保证体系和质量控制措施的得1分； 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工程质量保证体系和技术措施</w:t>
            </w:r>
          </w:p>
        </w:tc>
      </w:tr>
      <w:tr>
        <w:tc>
          <w:tcPr>
            <w:tcW w:type="dxa" w:w="831"/>
            <w:vMerge/>
          </w:tcPr>
          <w:p/>
        </w:tc>
        <w:tc>
          <w:tcPr>
            <w:tcW w:type="dxa" w:w="1661"/>
          </w:tcPr>
          <w:p>
            <w:pPr>
              <w:pStyle w:val="null3"/>
            </w:pPr>
            <w:r>
              <w:rPr>
                <w:rFonts w:ascii="仿宋_GB2312" w:hAnsi="仿宋_GB2312" w:cs="仿宋_GB2312" w:eastAsia="仿宋_GB2312"/>
              </w:rPr>
              <w:t>确保计划工期的技术组织措施</w:t>
            </w:r>
          </w:p>
        </w:tc>
        <w:tc>
          <w:tcPr>
            <w:tcW w:type="dxa" w:w="2492"/>
          </w:tcPr>
          <w:p>
            <w:pPr>
              <w:pStyle w:val="null3"/>
            </w:pPr>
            <w:r>
              <w:rPr>
                <w:rFonts w:ascii="仿宋_GB2312" w:hAnsi="仿宋_GB2312" w:cs="仿宋_GB2312" w:eastAsia="仿宋_GB2312"/>
              </w:rPr>
              <w:t>对供应商提供的确保计划工期的技术组织措施进行评审： 1.措施完善、合理，有针对性的得6分； 2.措施较完善、合理的得3分； 3.措施不完善的得1分； 4.未提供不得分。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确保计划工期的技术组织措施</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对供应商提供的确保安全生产的技术组织措施进行评审： 1.措施内容详实、有针对性的得6分； 2.措施内容基本完整的得3分； 3.措施有缺漏的得1分； 4.未提供不得分。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确保安全生产的技术组织措施</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对供应商施工机械配备和材料投入计划进行评审： 1.机械、材料配备完整且满足项目需求的得 6 分； 2.机械、材料配备基本完整的得3分； 3.机械、材料配备不完善的得1分； 4.未提供不得分。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施工机械配备和材料投入计划</w:t>
            </w:r>
          </w:p>
        </w:tc>
      </w:tr>
      <w:tr>
        <w:tc>
          <w:tcPr>
            <w:tcW w:type="dxa" w:w="831"/>
            <w:vMerge/>
          </w:tcPr>
          <w:p/>
        </w:tc>
        <w:tc>
          <w:tcPr>
            <w:tcW w:type="dxa" w:w="1661"/>
          </w:tcPr>
          <w:p>
            <w:pPr>
              <w:pStyle w:val="null3"/>
            </w:pPr>
            <w:r>
              <w:rPr>
                <w:rFonts w:ascii="仿宋_GB2312" w:hAnsi="仿宋_GB2312" w:cs="仿宋_GB2312" w:eastAsia="仿宋_GB2312"/>
              </w:rPr>
              <w:t>拟派项目经理业绩及职称</w:t>
            </w:r>
          </w:p>
        </w:tc>
        <w:tc>
          <w:tcPr>
            <w:tcW w:type="dxa" w:w="2492"/>
          </w:tcPr>
          <w:p>
            <w:pPr>
              <w:pStyle w:val="null3"/>
            </w:pPr>
            <w:r>
              <w:rPr>
                <w:rFonts w:ascii="仿宋_GB2312" w:hAnsi="仿宋_GB2312" w:cs="仿宋_GB2312" w:eastAsia="仿宋_GB2312"/>
              </w:rPr>
              <w:t>1.拟派项目经理近三年（2023年1月1日至今）承担过的（室内装修）施工业绩项目经理职位，具备一项得2分，本项最高4分。 注：提供所承揽项目的合同复印件，以合同复印件中项目经理的姓名为准，否则不作为考核。 2.拟派项目经理职称：供应商拟派项目经理具备中级工程相关类职称得2分，高级工程相关职称得4分。 注：所提供人员应附相关证书复印件，否则不作为考核。</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拟派项目经理业绩及职称</w:t>
            </w:r>
          </w:p>
        </w:tc>
      </w:tr>
      <w:tr>
        <w:tc>
          <w:tcPr>
            <w:tcW w:type="dxa" w:w="831"/>
            <w:vMerge/>
          </w:tcPr>
          <w:p/>
        </w:tc>
        <w:tc>
          <w:tcPr>
            <w:tcW w:type="dxa" w:w="1661"/>
          </w:tcPr>
          <w:p>
            <w:pPr>
              <w:pStyle w:val="null3"/>
            </w:pPr>
            <w:r>
              <w:rPr>
                <w:rFonts w:ascii="仿宋_GB2312" w:hAnsi="仿宋_GB2312" w:cs="仿宋_GB2312" w:eastAsia="仿宋_GB2312"/>
              </w:rPr>
              <w:t>拟派项目部组成及人员配备</w:t>
            </w:r>
          </w:p>
        </w:tc>
        <w:tc>
          <w:tcPr>
            <w:tcW w:type="dxa" w:w="2492"/>
          </w:tcPr>
          <w:p>
            <w:pPr>
              <w:pStyle w:val="null3"/>
            </w:pPr>
            <w:r>
              <w:rPr>
                <w:rFonts w:ascii="仿宋_GB2312" w:hAnsi="仿宋_GB2312" w:cs="仿宋_GB2312" w:eastAsia="仿宋_GB2312"/>
              </w:rPr>
              <w:t>施工员、资料员、质量员、材料员、安全员、造价员为基本配置，满足基本配置得6分。缺少任意人员配备本项不得分。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拟派项目部组成及人员配备</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供应商近三年（2023年1月1日至今）承担过的装饰装修项目施工业绩，每有1项得2分，最多得6分。注：提供业绩合同关键页（包括合同首页、签字盖章页、承揽项目内容相关内容页），否则不予计分。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1.满足磋商文件要求且综合单价合计最低为评审基准价，其价格分为满分。2.按（评审基准价／最终磋商报价×20）的公式计算价格得分。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详见附件：供应商资格要求</w:t>
      </w:r>
    </w:p>
    <w:p>
      <w:pPr>
        <w:pStyle w:val="null3"/>
        <w:ind w:firstLine="960"/>
      </w:pPr>
      <w:r>
        <w:rPr>
          <w:rFonts w:ascii="仿宋_GB2312" w:hAnsi="仿宋_GB2312" w:cs="仿宋_GB2312" w:eastAsia="仿宋_GB2312"/>
        </w:rPr>
        <w:t>详见附件：节能、环保产品承诺</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详见附件：安全文明施工现场管理</w:t>
      </w:r>
    </w:p>
    <w:p>
      <w:pPr>
        <w:pStyle w:val="null3"/>
        <w:ind w:firstLine="960"/>
      </w:pPr>
      <w:r>
        <w:rPr>
          <w:rFonts w:ascii="仿宋_GB2312" w:hAnsi="仿宋_GB2312" w:cs="仿宋_GB2312" w:eastAsia="仿宋_GB2312"/>
        </w:rPr>
        <w:t>详见附件：工程质量保证体系和技术措施</w:t>
      </w:r>
    </w:p>
    <w:p>
      <w:pPr>
        <w:pStyle w:val="null3"/>
        <w:ind w:firstLine="960"/>
      </w:pPr>
      <w:r>
        <w:rPr>
          <w:rFonts w:ascii="仿宋_GB2312" w:hAnsi="仿宋_GB2312" w:cs="仿宋_GB2312" w:eastAsia="仿宋_GB2312"/>
        </w:rPr>
        <w:t>详见附件：拟派项目部组成及人员配备</w:t>
      </w:r>
    </w:p>
    <w:p>
      <w:pPr>
        <w:pStyle w:val="null3"/>
        <w:ind w:firstLine="960"/>
      </w:pPr>
      <w:r>
        <w:rPr>
          <w:rFonts w:ascii="仿宋_GB2312" w:hAnsi="仿宋_GB2312" w:cs="仿宋_GB2312" w:eastAsia="仿宋_GB2312"/>
        </w:rPr>
        <w:t>详见附件：拟派项目经理业绩及职称</w:t>
      </w:r>
    </w:p>
    <w:p>
      <w:pPr>
        <w:pStyle w:val="null3"/>
        <w:ind w:firstLine="960"/>
      </w:pPr>
      <w:r>
        <w:rPr>
          <w:rFonts w:ascii="仿宋_GB2312" w:hAnsi="仿宋_GB2312" w:cs="仿宋_GB2312" w:eastAsia="仿宋_GB2312"/>
        </w:rPr>
        <w:t>详见附件：确保安全生产的技术组织措施</w:t>
      </w:r>
    </w:p>
    <w:p>
      <w:pPr>
        <w:pStyle w:val="null3"/>
        <w:ind w:firstLine="960"/>
      </w:pPr>
      <w:r>
        <w:rPr>
          <w:rFonts w:ascii="仿宋_GB2312" w:hAnsi="仿宋_GB2312" w:cs="仿宋_GB2312" w:eastAsia="仿宋_GB2312"/>
        </w:rPr>
        <w:t>详见附件：确保计划工期的技术组织措施</w:t>
      </w:r>
    </w:p>
    <w:p>
      <w:pPr>
        <w:pStyle w:val="null3"/>
        <w:ind w:firstLine="960"/>
      </w:pPr>
      <w:r>
        <w:rPr>
          <w:rFonts w:ascii="仿宋_GB2312" w:hAnsi="仿宋_GB2312" w:cs="仿宋_GB2312" w:eastAsia="仿宋_GB2312"/>
        </w:rPr>
        <w:t>详见附件：施工管理方案</w:t>
      </w:r>
    </w:p>
    <w:p>
      <w:pPr>
        <w:pStyle w:val="null3"/>
        <w:ind w:firstLine="960"/>
      </w:pPr>
      <w:r>
        <w:rPr>
          <w:rFonts w:ascii="仿宋_GB2312" w:hAnsi="仿宋_GB2312" w:cs="仿宋_GB2312" w:eastAsia="仿宋_GB2312"/>
        </w:rPr>
        <w:t>详见附件：施工机械配备和材料投入计划</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详见附件：施工组织计划</w:t>
      </w:r>
    </w:p>
    <w:p>
      <w:pPr>
        <w:pStyle w:val="null3"/>
        <w:ind w:firstLine="960"/>
      </w:pPr>
      <w:r>
        <w:rPr>
          <w:rFonts w:ascii="仿宋_GB2312" w:hAnsi="仿宋_GB2312" w:cs="仿宋_GB2312" w:eastAsia="仿宋_GB2312"/>
        </w:rPr>
        <w:t>详见附件：应急实施方案</w:t>
      </w:r>
    </w:p>
    <w:p>
      <w:pPr>
        <w:pStyle w:val="null3"/>
        <w:ind w:firstLine="960"/>
      </w:pPr>
      <w:r>
        <w:rPr>
          <w:rFonts w:ascii="仿宋_GB2312" w:hAnsi="仿宋_GB2312" w:cs="仿宋_GB2312" w:eastAsia="仿宋_GB2312"/>
        </w:rPr>
        <w:t>详见附件：原材料采购方案</w:t>
      </w:r>
    </w:p>
    <w:p>
      <w:pPr>
        <w:pStyle w:val="null3"/>
        <w:ind w:firstLine="960"/>
      </w:pPr>
      <w:r>
        <w:rPr>
          <w:rFonts w:ascii="仿宋_GB2312" w:hAnsi="仿宋_GB2312" w:cs="仿宋_GB2312" w:eastAsia="仿宋_GB2312"/>
        </w:rPr>
        <w:t>详见附件：已标价工程量清单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