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版本号：CGZC-2026-039（ZR20GN2026-CS-031）(R)20260618001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浐灞国际港灞河段（北三环至灞河入渭口）库坝调度值守及河道打捞服务项目（二次）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CGZC-2026-039（ZR20GN2026-CS-031）(R)</w:t>
      </w:r>
      <w:r>
        <w:br/>
      </w:r>
      <w:r>
        <w:br/>
      </w:r>
      <w:r>
        <w:br/>
      </w:r>
    </w:p>
    <w:p>
      <w:pPr>
        <w:pStyle w:val="null3"/>
        <w:jc w:val="center"/>
        <w:outlineLvl w:val="2"/>
      </w:pPr>
      <w:r>
        <w:rPr>
          <w:rFonts w:ascii="仿宋_GB2312" w:hAnsi="仿宋_GB2312" w:cs="仿宋_GB2312" w:eastAsia="仿宋_GB2312"/>
          <w:sz w:val="28"/>
          <w:b/>
        </w:rPr>
        <w:t>西安浐灞国际港生态环境局</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西安浐灞国际港生态环境局</w:t>
      </w:r>
      <w:r>
        <w:rPr>
          <w:rFonts w:ascii="仿宋_GB2312" w:hAnsi="仿宋_GB2312" w:cs="仿宋_GB2312" w:eastAsia="仿宋_GB2312"/>
        </w:rPr>
        <w:t>委托，拟对</w:t>
      </w:r>
      <w:r>
        <w:rPr>
          <w:rFonts w:ascii="仿宋_GB2312" w:hAnsi="仿宋_GB2312" w:cs="仿宋_GB2312" w:eastAsia="仿宋_GB2312"/>
        </w:rPr>
        <w:t>浐灞国际港灞河段（北三环至灞河入渭口）库坝调度值守及河道打捞服务项目（二次）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CGZC-2026-039（ZR20GN2026-CS-031）(R)</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浐灞国际港灞河段（北三环至灞河入渭口）库坝调度值守及河道打捞服务项目（二次）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采购浐灞国际港灞河段（北三环至灞河入渭口）库坝调度值守及河道打捞服务。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2、供应商基本资格条件承诺函：供应商需在项目电子化交易系统中按要求填写《基本资格条件承诺函》完成承诺并进行电子签章。</w:t>
      </w:r>
    </w:p>
    <w:p>
      <w:pPr>
        <w:pStyle w:val="null3"/>
      </w:pPr>
      <w:r>
        <w:rPr>
          <w:rFonts w:ascii="仿宋_GB2312" w:hAnsi="仿宋_GB2312" w:cs="仿宋_GB2312" w:eastAsia="仿宋_GB2312"/>
        </w:rPr>
        <w:t>3、身份证明文件：法定代表人或单位负责人参加磋商的，应提供法定代表人或单位负责人身份证明。授权代表参加磋商的，应提供法定代表人或单位负责人身份证明、授权委托书及授权代表在本单位的社保缴纳证明；供应商需在项目电子化交易系统中按要求上传相应证明文件并进行电子签章。</w:t>
      </w:r>
    </w:p>
    <w:p>
      <w:pPr>
        <w:pStyle w:val="null3"/>
      </w:pPr>
      <w:r>
        <w:rPr>
          <w:rFonts w:ascii="仿宋_GB2312" w:hAnsi="仿宋_GB2312" w:cs="仿宋_GB2312" w:eastAsia="仿宋_GB2312"/>
        </w:rPr>
        <w:t>4、联合体：本项目不接受联合体。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西安浐灞国际港生态环境局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浐灞商务中心一期</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029-83597587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张经理、王经理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029-88825655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由采购人与采购代理机构约定：参照《国家计委关于印发&lt;招标代理服务收费管理暂行办法&gt;的通知》（计价格[2002]1980号）和《关于招标代理服务收费有关问题的通知》（发改办价格[2003]857号）规定按标准收取，若按照标准收取不足6000元，按6000元计取。 3、成交单位的代理服务费交纳信息 银行户名：陕西中润国际招标有限公司 开户银行：中信银行西安曲江池北路支行 账 号：7251310182600086350 代理机构财务联系电话：029-87321229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西安浐灞国际港生态环境局</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西安浐灞国际港生态环境局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西安浐灞国际港生态环境局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符合国家法律法规规定的标准、竞争性磋商文件和供应商竞争性磋商响应文件所要求的技术标准。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采购浐灞国际港灞河段（北三环至灞河入渭口）库坝调度值守及河道打捞服务。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浐灞国际港灞河段（北三环至灞河入渭口）库坝调度值守及河道打捞服务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标的名称：浐灞国际港灞河段（北三环至灞河入渭口）库坝调度值守及河道打捞服务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ind w:firstLine="400"/>
            </w:pPr>
            <w:r>
              <w:rPr>
                <w:rFonts w:ascii="仿宋_GB2312" w:hAnsi="仿宋_GB2312" w:cs="仿宋_GB2312" w:eastAsia="仿宋_GB2312"/>
              </w:rPr>
              <w:t>采购浐灞国际港灞河段（北三环至灞河入渭口）库坝调度值守及河道打捞服务。</w:t>
            </w:r>
          </w:p>
          <w:p>
            <w:pPr>
              <w:pStyle w:val="null3"/>
            </w:pPr>
            <w:r>
              <w:rPr>
                <w:rFonts w:ascii="仿宋_GB2312" w:hAnsi="仿宋_GB2312" w:cs="仿宋_GB2312" w:eastAsia="仿宋_GB2312"/>
              </w:rPr>
              <w:t>二、服务内容</w:t>
            </w:r>
          </w:p>
          <w:p>
            <w:pPr>
              <w:pStyle w:val="null3"/>
              <w:ind w:firstLine="400"/>
            </w:pPr>
            <w:r>
              <w:rPr>
                <w:rFonts w:ascii="仿宋_GB2312" w:hAnsi="仿宋_GB2312" w:cs="仿宋_GB2312" w:eastAsia="仿宋_GB2312"/>
              </w:rPr>
              <w:t>负责浐灞国际港灞河段（北三环至灞河入渭口）8.17公里河道垃圾漂浮物打捞和清理、1号液压坝和0号橡胶坝日常调度值守及1号液压坝维修养护工作。</w:t>
            </w:r>
          </w:p>
          <w:p>
            <w:pPr>
              <w:pStyle w:val="null3"/>
            </w:pPr>
            <w:r>
              <w:rPr>
                <w:rFonts w:ascii="仿宋_GB2312" w:hAnsi="仿宋_GB2312" w:cs="仿宋_GB2312" w:eastAsia="仿宋_GB2312"/>
              </w:rPr>
              <w:t>三、服务要求</w:t>
            </w:r>
          </w:p>
          <w:p>
            <w:pPr>
              <w:pStyle w:val="null3"/>
              <w:ind w:firstLine="400"/>
            </w:pPr>
            <w:r>
              <w:rPr>
                <w:rFonts w:ascii="仿宋_GB2312" w:hAnsi="仿宋_GB2312" w:cs="仿宋_GB2312" w:eastAsia="仿宋_GB2312"/>
              </w:rPr>
              <w:t>1.浐灞国际港灞河段（北三环至灞河入渭口）8.17公里水域打捞人员不少于10人，打捞机械设备不少于2台，确保垃圾漂浮物及时清运，水域干净整洁。</w:t>
            </w:r>
          </w:p>
          <w:p>
            <w:pPr>
              <w:pStyle w:val="null3"/>
              <w:ind w:firstLine="400"/>
            </w:pPr>
            <w:r>
              <w:rPr>
                <w:rFonts w:ascii="仿宋_GB2312" w:hAnsi="仿宋_GB2312" w:cs="仿宋_GB2312" w:eastAsia="仿宋_GB2312"/>
              </w:rPr>
              <w:t>2.1号液压坝和0号橡胶坝日常调度值守，调度值守人员不少于3人。1号液压坝要求24小时值守，确保库坝运行调度正常，安全度汛。</w:t>
            </w:r>
          </w:p>
          <w:p>
            <w:pPr>
              <w:pStyle w:val="null3"/>
              <w:ind w:firstLine="400"/>
            </w:pPr>
            <w:r>
              <w:rPr>
                <w:rFonts w:ascii="仿宋_GB2312" w:hAnsi="仿宋_GB2312" w:cs="仿宋_GB2312" w:eastAsia="仿宋_GB2312"/>
              </w:rPr>
              <w:t>3.负责1号液压坝维修养护工作。</w:t>
            </w:r>
          </w:p>
          <w:p>
            <w:pPr>
              <w:pStyle w:val="null3"/>
              <w:ind w:firstLine="400"/>
            </w:pPr>
            <w:r>
              <w:rPr>
                <w:rFonts w:ascii="仿宋_GB2312" w:hAnsi="仿宋_GB2312" w:cs="仿宋_GB2312" w:eastAsia="仿宋_GB2312"/>
              </w:rPr>
              <w:t>4.服务期间，为保障采购人日常巡查工作的顺利进行，供应商须针对本项目提供车辆保障服务，新能源轿车2辆及以上。</w:t>
            </w:r>
          </w:p>
          <w:p>
            <w:pPr>
              <w:pStyle w:val="null3"/>
              <w:ind w:firstLine="400"/>
            </w:pPr>
            <w:r>
              <w:rPr>
                <w:rFonts w:ascii="仿宋_GB2312" w:hAnsi="仿宋_GB2312" w:cs="仿宋_GB2312" w:eastAsia="仿宋_GB2312"/>
              </w:rPr>
              <w:t>新能源汽车要求：①必须为纯电动汽车；②五座；③最高车速≥120km/h；④续航里程≥300km；⑤充电：可快充可慢充。</w:t>
            </w:r>
          </w:p>
          <w:p>
            <w:pPr>
              <w:pStyle w:val="null3"/>
            </w:pPr>
            <w:r>
              <w:rPr>
                <w:rFonts w:ascii="仿宋_GB2312" w:hAnsi="仿宋_GB2312" w:cs="仿宋_GB2312" w:eastAsia="仿宋_GB2312"/>
              </w:rPr>
              <w:t>四、商务要求</w:t>
            </w:r>
          </w:p>
          <w:p>
            <w:pPr>
              <w:pStyle w:val="null3"/>
            </w:pPr>
            <w:r>
              <w:rPr>
                <w:rFonts w:ascii="仿宋_GB2312" w:hAnsi="仿宋_GB2312" w:cs="仿宋_GB2312" w:eastAsia="仿宋_GB2312"/>
              </w:rPr>
              <w:t>(一)服务期限</w:t>
            </w:r>
          </w:p>
          <w:p>
            <w:pPr>
              <w:pStyle w:val="null3"/>
              <w:ind w:firstLine="400"/>
            </w:pPr>
            <w:r>
              <w:rPr>
                <w:rFonts w:ascii="仿宋_GB2312" w:hAnsi="仿宋_GB2312" w:cs="仿宋_GB2312" w:eastAsia="仿宋_GB2312"/>
              </w:rPr>
              <w:t>自进场之日起一年。</w:t>
            </w:r>
          </w:p>
          <w:p>
            <w:pPr>
              <w:pStyle w:val="null3"/>
            </w:pPr>
            <w:r>
              <w:rPr>
                <w:rFonts w:ascii="仿宋_GB2312" w:hAnsi="仿宋_GB2312" w:cs="仿宋_GB2312" w:eastAsia="仿宋_GB2312"/>
              </w:rPr>
              <w:t>(二)款项结算</w:t>
            </w:r>
          </w:p>
          <w:p>
            <w:pPr>
              <w:pStyle w:val="null3"/>
              <w:ind w:firstLine="400"/>
            </w:pPr>
            <w:r>
              <w:rPr>
                <w:rFonts w:ascii="仿宋_GB2312" w:hAnsi="仿宋_GB2312" w:cs="仿宋_GB2312" w:eastAsia="仿宋_GB2312"/>
              </w:rPr>
              <w:t>每三个月支付一次服务费用，支付金额=每个月服务费×3-考核涉及服务费扣除（如有）。供应商每月需向采购人上报工作报告，采购人每三个月对供应商的工作情况进行考核，考核结果作为支付依据；若考核涉及服务费扣除，相关金额将在当期应支付费用中予以扣减。采购人确认无误后，供应商及时向采购人开具等额增值税普通发票。</w:t>
            </w:r>
          </w:p>
          <w:p>
            <w:pPr>
              <w:pStyle w:val="null3"/>
              <w:ind w:firstLine="400"/>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供应商配备人员应满足项目需求，且相关人员具有相应的专业技能上岗证书。</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满足本项目服务要求，按需配备。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自进场之日起一年。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符合国家法律法规规定的标准、竞争性磋商文件和供应商竞争性磋商响应文件所要求的技术标准。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进度款，每三个月支付一次服务费用，达到付款条件起30个工作日内，支付合同总金额的25.0%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进度款，每三个月支付一次服务费用，达到付款条件起30个工作日内，支付合同总金额的25.0%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进度款，每三个月支付一次服务费用，达到付款条件起30个工作日内，支付合同总金额的25.0%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进度款，每三个月支付一次服务费用，达到付款条件起30个工作日内，支付合同总金额的25.0%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成交供应商在领取成交通知书前须无偿为采购人提供盖章齐全的纸质版响应文件三套，正本1套，副本2套，纸质版应与电子响应文件保持一致。正本应为彩色打印件，副本可采用正本的复印件。纸质版文件与电子响应文件不一致由此造成的一切责任及后果由供应商自行承担。纸质版响应文件递交地址：西安市高新区唐延路1号旺座国际城座A座12楼，张经理 王经理，029-88825655。 3.4.2本项目非专门面向中小企业。项目所属行业：（根据《工业和信息化部、国家统计局、国家发展和改革委员会、财政部关于印发中小企业划型标准规定的通知》（工信部联企业〔2011〕300 号）规定的划分标准：（十六）其他未列明行业。从业人员300人以下的为中小微型企业。其中，从业人员100人及以上的为中型企业；从业人员10人及以上的为小型企业；从业人员10人以下的为微型企业。 3.4.3落实政府采购政策： ①《关于进一步加大政府采购支持中小企业力度的通知》（财库〔2022〕19号）、《政府采购促进中小企业发展管理办法》（财库〔2020〕46号）、《财政部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②《国务院办公厅关于建立政府强制采购节能产品制度的通知》（国办发〔2007〕51号）、《财政部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③《关于运用政府采购政策支持乡村产业振兴的通知》（财库〔2021〕19 号）、《关于印发&lt;关于深入开展政府采购脱贫地区农副产品工作推进乡村产业振兴的实施意见&gt;的通知》（财库〔2021〕20 号）。 ④《国家互联网信息办公室 工业和信息化部 公安部 财政部 国家认证认可监督管理委员会关于调整网络安全专用产品安全管理有关事项的公告》（2023年第1号）。 ⑤《陕西省财政厅关于加快推进我省中小企业政府采购信用融资工作的通知》（陕财办采〔2020〕15 号）、《陕西省财政厅关于印发&lt;陕西省中小企业政府采购信用融资办法&gt;的通知》（陕财办采〔2018〕23 号）。 ⑥《关于扩大政府采购支持绿色建材促进建筑品质提升政策实施范围的通知》（财库〔2022〕35号）、《财政部办公厅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若享受以上政策优惠的企业，提供相应声明函或品目清单范围内产品的有效认证证书。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供应商需在项目电子化交易系统中按要求填写《响应函》、《基本资格条件承诺函》完成承诺，提交相应资格证明文件并进行电子签章。</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的社保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首次磋商报价表.docx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政府采购供应商拒绝政府采购领域商业贿赂承诺书.docx 供应商应提供的资格证明文件.docx 中小企业声明函 残疾人福利性单位声明函 商务应答表 服务内容及服务要求应答表 标的清单 首次磋商报价表.docx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有效期应符合磋商文件要求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供应商报价是固定价且未超过预算金额（磋商文件有最高限价（最高含税完全综合单价限价）的，报价未超过最高限价（最高含税完全综合单价限价））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标的清单 首次磋商报价表.docx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应符合磋商文件规定的其他实质性要求</w:t>
            </w:r>
          </w:p>
        </w:tc>
        <w:tc>
          <w:tcPr>
            <w:tcW w:type="dxa" w:w="1661"/>
          </w:tcPr>
          <w:p>
            <w:pPr>
              <w:pStyle w:val="null3"/>
            </w:pPr>
            <w:r>
              <w:rPr>
                <w:rFonts w:ascii="仿宋_GB2312" w:hAnsi="仿宋_GB2312" w:cs="仿宋_GB2312" w:eastAsia="仿宋_GB2312"/>
              </w:rPr>
              <w:t>政府采购供应商拒绝政府采购领域商业贿赂承诺书.docx 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提供本项目打捞、清理、调度值守、维修养护服务方案，根据服务方案的完整性、规范性、科学性、可行性进行评分； 服务方案详细、合理、规范、可行性强得10分； 服务方案较详细、可行性较强得7分； 服务方案基本合理，基本可行得3分； 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针对本项目人员团队清单（打捞人员≥10人，库坝值守人员≥3人）。清单内容应包括具体成员姓名、年龄、学历、工作年限、岗位。注：附投标截止时间前近3个月内任意一个月本单位社保缴纳证明或劳动合同，复印件或扫描件加盖投标单位公章。缺项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拟投入本项目的辅助打捞船，每提供1艘得3分，最高6分。打捞船如为自有的，响应文件中须提供打捞船购买发票扫描件；打捞船如为已租赁的，响应文件中须提供租赁协议（合同）扫描件；打捞船如为承诺成交后购买或租赁的，需提供承诺书（加盖单位公章）。以上对应证明材料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质量控制措施完善、合理、可行性强得10分； 质量控制措施较为完善、较合理、可行性较强得7分； 质量控制措施基本合理、基本可行得3分； 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突发事件及应急预案不限于突发情况、雨雪恶劣天气等方面，详细，实用，可行性强得10分； 突发事件及应急预案，较详细，较实用，可行性较强得7分； 突发事件及应急预案，基本详细，基本实用，基本可行得3分； 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安全事故处理措施</w:t>
            </w:r>
          </w:p>
        </w:tc>
        <w:tc>
          <w:tcPr>
            <w:tcW w:type="dxa" w:w="2492"/>
          </w:tcPr>
          <w:p>
            <w:pPr>
              <w:pStyle w:val="null3"/>
            </w:pPr>
            <w:r>
              <w:rPr>
                <w:rFonts w:ascii="仿宋_GB2312" w:hAnsi="仿宋_GB2312" w:cs="仿宋_GB2312" w:eastAsia="仿宋_GB2312"/>
              </w:rPr>
              <w:t>针对本项目制定的安全保障及事故处理措施，包括但不限于：意外伤害赔偿、风险规避措施、打捞保险措施、落水施救措施； 保障及处理措施详细合理，可行性强得10分。 保障及处理措施较详细合理，可行性较强得7分； 保障及处理措施基本合理，基本可行得3分； 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针对本项目的合理化建议，每提供1条得2分，最高得6分。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针对本项目的服务承诺，包括但不限于①服务品质、②车辆保障、③1号液压坝24小时值守、④后期配套服务。每承诺1点得2.5分，最高得10分； 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提供2023年1月1日至今类似项目业绩，提供1份得4分，最高得8分。（以合同签订时间为准，提供合同复印件。）未提供不得分。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详见附件：首次磋商报价表.docx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详见附件：拟签订的合同文本-浐灞国际港灞河段（北三环至灞河入渭口）库坝调度值守及河道打捞服务项目.docx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