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194A0">
      <w:pPr>
        <w:pStyle w:val="2"/>
        <w:tabs>
          <w:tab w:val="left" w:pos="567"/>
        </w:tabs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</w:p>
    <w:p w14:paraId="5D602E3C">
      <w:pPr>
        <w:pStyle w:val="2"/>
        <w:tabs>
          <w:tab w:val="left" w:pos="567"/>
        </w:tabs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</w:p>
    <w:p w14:paraId="3F3452B0">
      <w:pPr>
        <w:pStyle w:val="2"/>
        <w:tabs>
          <w:tab w:val="left" w:pos="567"/>
        </w:tabs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</w:p>
    <w:p w14:paraId="648AE12D">
      <w:pPr>
        <w:pStyle w:val="2"/>
        <w:tabs>
          <w:tab w:val="left" w:pos="567"/>
        </w:tabs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</w:p>
    <w:p w14:paraId="3361F1AA">
      <w:pPr>
        <w:pStyle w:val="2"/>
        <w:tabs>
          <w:tab w:val="left" w:pos="567"/>
        </w:tabs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</w:p>
    <w:p w14:paraId="5B28494A">
      <w:pPr>
        <w:pStyle w:val="2"/>
        <w:tabs>
          <w:tab w:val="left" w:pos="567"/>
        </w:tabs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</w:p>
    <w:p w14:paraId="345C7A4B">
      <w:pPr>
        <w:pStyle w:val="2"/>
        <w:tabs>
          <w:tab w:val="left" w:pos="567"/>
        </w:tabs>
        <w:spacing w:line="240" w:lineRule="auto"/>
        <w:jc w:val="center"/>
        <w:rPr>
          <w:rFonts w:hint="eastAsia" w:ascii="仿宋" w:hAnsi="仿宋" w:eastAsia="仿宋" w:cs="仿宋"/>
          <w:b/>
          <w:bCs/>
          <w:color w:val="auto"/>
          <w:sz w:val="40"/>
          <w:szCs w:val="40"/>
          <w:highlight w:val="none"/>
          <w:lang w:eastAsia="zh-CN"/>
        </w:rPr>
      </w:pPr>
      <w:r>
        <w:rPr>
          <w:rFonts w:hint="eastAsia" w:cs="仿宋"/>
          <w:b/>
          <w:bCs/>
          <w:color w:val="auto"/>
          <w:sz w:val="40"/>
          <w:szCs w:val="40"/>
          <w:highlight w:val="none"/>
          <w:lang w:eastAsia="zh-CN"/>
        </w:rPr>
        <w:t>浐灞国际港灞河段（北三环至灞河入渭口）库坝调度值守及河道打捞服务项目</w:t>
      </w:r>
    </w:p>
    <w:p w14:paraId="3FC8B580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40"/>
          <w:szCs w:val="40"/>
          <w:highlight w:val="none"/>
        </w:rPr>
      </w:pPr>
    </w:p>
    <w:p w14:paraId="0A395170">
      <w:pPr>
        <w:spacing w:line="240" w:lineRule="auto"/>
        <w:rPr>
          <w:rFonts w:hint="eastAsia" w:ascii="仿宋" w:hAnsi="仿宋" w:eastAsia="仿宋" w:cs="仿宋"/>
          <w:color w:val="auto"/>
          <w:sz w:val="40"/>
          <w:szCs w:val="40"/>
          <w:highlight w:val="none"/>
        </w:rPr>
      </w:pPr>
    </w:p>
    <w:p w14:paraId="0B8AF2E5">
      <w:pPr>
        <w:spacing w:line="240" w:lineRule="auto"/>
        <w:rPr>
          <w:rFonts w:hint="eastAsia" w:ascii="仿宋" w:hAnsi="仿宋" w:eastAsia="仿宋" w:cs="仿宋"/>
          <w:color w:val="auto"/>
          <w:sz w:val="40"/>
          <w:szCs w:val="40"/>
          <w:highlight w:val="none"/>
        </w:rPr>
      </w:pPr>
    </w:p>
    <w:p w14:paraId="087D67BE">
      <w:pPr>
        <w:spacing w:line="240" w:lineRule="auto"/>
        <w:rPr>
          <w:rFonts w:hint="eastAsia" w:ascii="仿宋" w:hAnsi="仿宋" w:eastAsia="仿宋" w:cs="仿宋"/>
          <w:color w:val="auto"/>
          <w:sz w:val="40"/>
          <w:szCs w:val="40"/>
          <w:highlight w:val="none"/>
        </w:rPr>
      </w:pPr>
    </w:p>
    <w:p w14:paraId="49CA3C4E">
      <w:pPr>
        <w:spacing w:line="240" w:lineRule="auto"/>
        <w:rPr>
          <w:rFonts w:hint="eastAsia" w:ascii="仿宋" w:hAnsi="仿宋" w:eastAsia="仿宋" w:cs="仿宋"/>
          <w:color w:val="auto"/>
          <w:sz w:val="40"/>
          <w:szCs w:val="40"/>
          <w:highlight w:val="none"/>
        </w:rPr>
      </w:pPr>
    </w:p>
    <w:p w14:paraId="65D61685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合 同 书</w:t>
      </w:r>
    </w:p>
    <w:p w14:paraId="713D21A8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szCs w:val="36"/>
          <w:highlight w:val="none"/>
        </w:rPr>
        <w:t>（仅供参考，具体合同内容以甲乙双方签订为准）</w:t>
      </w:r>
    </w:p>
    <w:p w14:paraId="45393E53">
      <w:pPr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485131BE">
      <w:pPr>
        <w:spacing w:line="240" w:lineRule="auto"/>
        <w:rPr>
          <w:rFonts w:hint="eastAsia" w:ascii="仿宋" w:hAnsi="仿宋" w:eastAsia="仿宋" w:cs="仿宋"/>
          <w:b/>
          <w:color w:val="auto"/>
          <w:sz w:val="28"/>
          <w:szCs w:val="28"/>
          <w:highlight w:val="none"/>
        </w:rPr>
      </w:pPr>
    </w:p>
    <w:p w14:paraId="27629D1E">
      <w:pPr>
        <w:spacing w:line="24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49BB656">
      <w:pPr>
        <w:spacing w:line="24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62B9B677">
      <w:pPr>
        <w:spacing w:line="24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33FEA26">
      <w:pPr>
        <w:spacing w:line="24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3C1A864D">
      <w:pPr>
        <w:pStyle w:val="2"/>
        <w:tabs>
          <w:tab w:val="left" w:pos="567"/>
        </w:tabs>
        <w:spacing w:line="240" w:lineRule="auto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3217FE5">
      <w:pPr>
        <w:spacing w:line="240" w:lineRule="auto"/>
        <w:ind w:left="987" w:hanging="1630" w:hangingChars="400"/>
        <w:jc w:val="center"/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</w:pPr>
    </w:p>
    <w:p w14:paraId="1A2AB344">
      <w:pPr>
        <w:spacing w:line="240" w:lineRule="auto"/>
        <w:ind w:left="1308" w:hanging="1630" w:hangingChars="400"/>
        <w:jc w:val="center"/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  <w:t>甲方(</w:t>
      </w:r>
      <w:r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  <w:t>采购人</w:t>
      </w:r>
      <w:r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  <w:fldChar w:fldCharType="end"/>
      </w:r>
      <w:r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  <w:t>)：</w:t>
      </w:r>
      <w:r>
        <w:rPr>
          <w:rFonts w:hint="eastAsia" w:ascii="仿宋" w:hAnsi="仿宋" w:eastAsia="仿宋" w:cs="仿宋"/>
          <w:color w:val="auto"/>
          <w:spacing w:val="23"/>
          <w:sz w:val="36"/>
          <w:szCs w:val="36"/>
          <w:highlight w:val="none"/>
          <w:u w:val="single"/>
        </w:rPr>
        <w:t></w:t>
      </w:r>
    </w:p>
    <w:p w14:paraId="79791161">
      <w:pPr>
        <w:spacing w:line="240" w:lineRule="auto"/>
        <w:ind w:left="840" w:hanging="1440" w:hangingChars="400"/>
        <w:jc w:val="center"/>
        <w:rPr>
          <w:rFonts w:hint="eastAsia" w:ascii="仿宋" w:hAnsi="仿宋" w:eastAsia="仿宋" w:cs="仿宋"/>
          <w:color w:val="auto"/>
          <w:spacing w:val="23"/>
          <w:sz w:val="36"/>
          <w:szCs w:val="36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  <w:fldChar w:fldCharType="begin"/>
      </w:r>
      <w:r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仿宋" w:hAnsi="仿宋" w:eastAsia="仿宋" w:cs="仿宋"/>
          <w:color w:val="auto"/>
          <w:sz w:val="36"/>
          <w:szCs w:val="36"/>
          <w:highlight w:val="none"/>
        </w:rPr>
        <w:fldChar w:fldCharType="separate"/>
      </w:r>
      <w:r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  <w:t>乙方</w:t>
      </w:r>
      <w:r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  <w:fldChar w:fldCharType="end"/>
      </w:r>
      <w:r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  <w:t>(供应商)：</w:t>
      </w:r>
      <w:r>
        <w:rPr>
          <w:rFonts w:hint="eastAsia" w:ascii="仿宋" w:hAnsi="仿宋" w:eastAsia="仿宋" w:cs="仿宋"/>
          <w:color w:val="auto"/>
          <w:spacing w:val="23"/>
          <w:sz w:val="36"/>
          <w:szCs w:val="36"/>
          <w:highlight w:val="none"/>
          <w:u w:val="single"/>
        </w:rPr>
        <w:t></w:t>
      </w:r>
    </w:p>
    <w:p w14:paraId="56756C65">
      <w:pPr>
        <w:tabs>
          <w:tab w:val="left" w:pos="1995"/>
        </w:tabs>
        <w:spacing w:line="240" w:lineRule="auto"/>
        <w:ind w:left="1308" w:hanging="1630" w:hangingChars="400"/>
        <w:jc w:val="center"/>
        <w:rPr>
          <w:rFonts w:hint="eastAsia" w:ascii="仿宋" w:hAnsi="仿宋" w:eastAsia="仿宋" w:cs="仿宋"/>
          <w:bCs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  <w:t>签订时间：</w:t>
      </w:r>
      <w:r>
        <w:rPr>
          <w:rFonts w:hint="eastAsia" w:ascii="仿宋" w:hAnsi="仿宋" w:eastAsia="仿宋" w:cs="仿宋"/>
          <w:color w:val="auto"/>
          <w:spacing w:val="23"/>
          <w:sz w:val="36"/>
          <w:szCs w:val="36"/>
          <w:highlight w:val="none"/>
          <w:u w:val="single"/>
        </w:rPr>
        <w:t></w:t>
      </w:r>
      <w:r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  <w:t>年</w:t>
      </w:r>
      <w:r>
        <w:rPr>
          <w:rFonts w:hint="eastAsia" w:ascii="仿宋" w:hAnsi="仿宋" w:eastAsia="仿宋" w:cs="仿宋"/>
          <w:color w:val="auto"/>
          <w:spacing w:val="23"/>
          <w:sz w:val="36"/>
          <w:szCs w:val="36"/>
          <w:highlight w:val="none"/>
          <w:u w:val="single"/>
        </w:rPr>
        <w:t></w:t>
      </w:r>
      <w:r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  <w:t>月</w:t>
      </w:r>
      <w:r>
        <w:rPr>
          <w:rFonts w:hint="eastAsia" w:ascii="仿宋" w:hAnsi="仿宋" w:eastAsia="仿宋" w:cs="仿宋"/>
          <w:color w:val="auto"/>
          <w:spacing w:val="23"/>
          <w:sz w:val="36"/>
          <w:szCs w:val="36"/>
          <w:highlight w:val="none"/>
          <w:u w:val="single"/>
        </w:rPr>
        <w:t></w:t>
      </w:r>
      <w:r>
        <w:rPr>
          <w:rFonts w:hint="eastAsia" w:ascii="仿宋" w:hAnsi="仿宋" w:eastAsia="仿宋" w:cs="仿宋"/>
          <w:b/>
          <w:color w:val="auto"/>
          <w:spacing w:val="23"/>
          <w:sz w:val="36"/>
          <w:szCs w:val="36"/>
          <w:highlight w:val="none"/>
        </w:rPr>
        <w:t>日</w:t>
      </w:r>
    </w:p>
    <w:p w14:paraId="3276B0B7">
      <w:pPr>
        <w:spacing w:line="240" w:lineRule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</w:p>
    <w:p w14:paraId="329363A2">
      <w:pPr>
        <w:spacing w:line="240" w:lineRule="auto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</w:p>
    <w:p w14:paraId="78985DEE">
      <w:pPr>
        <w:widowControl/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bookmarkStart w:id="0" w:name="OLE_LINK48"/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  <w:bookmarkEnd w:id="0"/>
    </w:p>
    <w:p w14:paraId="33CD50D6">
      <w:pPr>
        <w:widowControl/>
        <w:spacing w:after="240" w:afterLines="100" w:line="240" w:lineRule="auto"/>
        <w:jc w:val="center"/>
        <w:outlineLvl w:val="0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  <w:t>合同</w:t>
      </w:r>
      <w:r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  <w:lang w:val="en-US" w:eastAsia="zh-CN"/>
        </w:rPr>
        <w:t>书</w:t>
      </w:r>
    </w:p>
    <w:p w14:paraId="71505A40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/>
        <w:jc w:val="left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采购人（甲方）：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</w:t>
      </w:r>
    </w:p>
    <w:p w14:paraId="52CEDB24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/>
        <w:jc w:val="left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供应商（乙方）：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</w:t>
      </w:r>
    </w:p>
    <w:p w14:paraId="17C3ACFF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80"/>
        <w:jc w:val="left"/>
        <w:textAlignment w:val="baseline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none"/>
          <w:lang w:val="zh-CN"/>
        </w:rPr>
        <w:t>依照《中华人民共和国政府采购法》及实施条例、《中华人民共和国民法典》等法律、行政法规，遵循平等、自愿、公平和诚实信用的原则，双方就本项目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none"/>
          <w:lang w:val="en-US" w:eastAsia="zh-CN"/>
        </w:rPr>
        <w:t>服务范围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none"/>
          <w:lang w:val="zh-CN"/>
        </w:rPr>
        <w:t>与相关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none"/>
          <w:lang w:val="en-US" w:eastAsia="zh-CN"/>
        </w:rPr>
        <w:t>服务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none"/>
          <w:lang w:val="zh-CN"/>
        </w:rPr>
        <w:t>事项协商一致，订立本合同。</w:t>
      </w:r>
    </w:p>
    <w:p w14:paraId="26683ED7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项目概况</w:t>
      </w:r>
    </w:p>
    <w:p w14:paraId="7EBC0991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1.项目名称：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；</w:t>
      </w:r>
    </w:p>
    <w:p w14:paraId="04BEC37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2.项目地点：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。</w:t>
      </w:r>
    </w:p>
    <w:p w14:paraId="68BD81E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3.服务内容：</w:t>
      </w:r>
    </w:p>
    <w:p w14:paraId="14F274D6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负责浐灞国际港灞河段（北三环至灞河入渭口）8.17公里河道垃圾漂浮物打捞和清理、1号液压坝和0号橡胶坝日常调度值守及1号液压坝维修养护工作。</w:t>
      </w:r>
    </w:p>
    <w:p w14:paraId="73C611E6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4.服务要求</w:t>
      </w:r>
    </w:p>
    <w:p w14:paraId="1B2DA9E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（1）</w:t>
      </w: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浐灞国际港灞河段（北三环至灞河入渭口）8.17公里水域打捞人员不少于10人，打捞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机械设备</w:t>
      </w: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不少于2台，确保垃圾漂浮物及时清运，水域干净整洁。</w:t>
      </w:r>
    </w:p>
    <w:p w14:paraId="0F6F293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（2）</w:t>
      </w: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1号液压坝和0号橡胶坝日常调度值守，调度值守人员不少于3人。1号液压坝要求24小时值守，确保库坝运行调度正常，安全度汛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。</w:t>
      </w:r>
    </w:p>
    <w:p w14:paraId="05688C1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（3）</w:t>
      </w: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负责1号液压坝维修养护工作。</w:t>
      </w:r>
    </w:p>
    <w:p w14:paraId="054555D6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（4）服务期间，为保障采购人日常巡查工作的顺利进行，供应商须针对本项目提供车辆保障服务，新能源轿车2辆及以上。</w:t>
      </w:r>
    </w:p>
    <w:p w14:paraId="741978AC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新能源汽车要求：①必须为纯电动汽车；②五座；③最高车速≥120km/h；④续航里程≥300km；⑤充电：可快充可慢充。</w:t>
      </w:r>
    </w:p>
    <w:p w14:paraId="2666C085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bookmarkStart w:id="1" w:name="_Toc185395249"/>
      <w:bookmarkStart w:id="2" w:name="_Toc238984975"/>
      <w:bookmarkStart w:id="3" w:name="_Toc241833903"/>
      <w:bookmarkStart w:id="4" w:name="_Toc225654644"/>
      <w:bookmarkStart w:id="5" w:name="_Toc211854449"/>
      <w:bookmarkStart w:id="6" w:name="_Toc211911348"/>
      <w:bookmarkStart w:id="7" w:name="_Toc251768862"/>
      <w:bookmarkStart w:id="8" w:name="_Toc225244852"/>
      <w:bookmarkStart w:id="9" w:name="_Toc239233914"/>
      <w:bookmarkStart w:id="10" w:name="_Toc286993786"/>
      <w:bookmarkStart w:id="11" w:name="_Toc283019214"/>
      <w:bookmarkStart w:id="12" w:name="_Toc239568418"/>
      <w:bookmarkStart w:id="13" w:name="_Toc237145406"/>
      <w:bookmarkStart w:id="14" w:name="_Toc212019594"/>
      <w:bookmarkStart w:id="15" w:name="_Toc247334841"/>
      <w:bookmarkStart w:id="16" w:name="_Toc225670751"/>
      <w:bookmarkStart w:id="17" w:name="_Toc282696226"/>
      <w:bookmarkStart w:id="18" w:name="_Toc232492928"/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其他要求：①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车辆保障服务费用应包含充电费、车辆保险、年审、车辆维修、保养、保洁等车辆相关一切费用。</w:t>
      </w:r>
    </w:p>
    <w:p w14:paraId="5FB2A598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②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乙方</w:t>
      </w: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提供的车辆应手续合法完备，车辆证件齐全有效，车况良好，车辆保险齐全(包括但不限于：损失险、第三方责任险(保额为100万元人民币)、交强险、不计免赔险、司乘险(5万/座)等)。</w:t>
      </w:r>
    </w:p>
    <w:p w14:paraId="610FC469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③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乙方</w:t>
      </w: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负责车辆的日常检查、定期保养、维修工作。车辆维修时，须提供同类型车辆，保障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甲方</w:t>
      </w: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工作用车需求。</w:t>
      </w:r>
    </w:p>
    <w:p w14:paraId="6F253326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④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乙方</w:t>
      </w: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负责做好车辆的日常保洁工作(每月每辆车内外清洗不少于两次，每辆车应配备保障日常所需的玻璃水等消耗用品)。</w:t>
      </w:r>
    </w:p>
    <w:p w14:paraId="424A6DB3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⑤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 w:eastAsia="zh-CN"/>
        </w:rPr>
        <w:t>车辆发生交通事故后，乙方应积极协助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甲方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 w:eastAsia="zh-CN"/>
        </w:rPr>
        <w:t>处理相关事宜。事故车辆的维修、索赔等事宜由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乙方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 w:eastAsia="zh-CN"/>
        </w:rPr>
        <w:t>负责。</w:t>
      </w:r>
    </w:p>
    <w:p w14:paraId="1CE6DC45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二、组成本合同的文件</w:t>
      </w:r>
    </w:p>
    <w:p w14:paraId="62090C94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1.协议书；</w:t>
      </w:r>
    </w:p>
    <w:p w14:paraId="04D04AFD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2.成交通知书、响应文件、采购文件、澄清、采购补充文件（或委托书）；</w:t>
      </w:r>
    </w:p>
    <w:p w14:paraId="143E9F6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3.相关服务建议书；</w:t>
      </w:r>
    </w:p>
    <w:p w14:paraId="7748FD0F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left"/>
        <w:textAlignment w:val="baseline"/>
        <w:rPr>
          <w:rFonts w:hint="eastAsia" w:ascii="仿宋" w:hAnsi="仿宋" w:eastAsia="仿宋" w:cs="仿宋"/>
          <w:b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三、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合同价款</w:t>
      </w:r>
    </w:p>
    <w:p w14:paraId="430FF0A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1.合同暂定总金额：大写：人民币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；小写：¥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元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。</w:t>
      </w:r>
    </w:p>
    <w:p w14:paraId="68B097E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default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 xml:space="preserve">  每个月服务费：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大写：人民币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；小写：¥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zh-CN"/>
        </w:rPr>
        <w:t xml:space="preserve">       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元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。</w:t>
      </w:r>
    </w:p>
    <w:p w14:paraId="287F056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.合同总价款包括但不限于完成本项目打捞服务费、清洁服务费、垃圾回收费、清运费、维修养护费、设备使用费、车辆保障服务费、保险</w:t>
      </w:r>
      <w:r>
        <w:rPr>
          <w:rFonts w:hint="eastAsia" w:ascii="仿宋" w:hAnsi="仿宋" w:eastAsia="仿宋" w:cs="仿宋"/>
          <w:b w:val="0"/>
          <w:snapToGrid w:val="0"/>
          <w:color w:val="auto"/>
          <w:kern w:val="2"/>
          <w:sz w:val="20"/>
          <w:szCs w:val="20"/>
          <w:highlight w:val="none"/>
          <w:lang w:val="en-US" w:eastAsia="zh-CN" w:bidi="ar-SA"/>
        </w:rPr>
        <w:t>、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利润、税金、风险、协调费用及完成工作准备阶段、实施阶段、成果交付阶段、验收阶段等其他一切相关费用，该合同价款不受市场因素的影响。</w:t>
      </w:r>
    </w:p>
    <w:p w14:paraId="67B7298A">
      <w:pPr>
        <w:pStyle w:val="6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0" w:firstLineChars="0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四、付款方式</w:t>
      </w:r>
    </w:p>
    <w:p w14:paraId="5970A9B4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20"/>
          <w:szCs w:val="20"/>
          <w:highlight w:val="none"/>
          <w:lang w:val="en-US" w:eastAsia="zh-CN"/>
        </w:rPr>
        <w:t>每三个月支付一次服务费用，支付金额=每个月服务费×3-考核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涉及服务费扣除（如有）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20"/>
          <w:szCs w:val="20"/>
          <w:highlight w:val="none"/>
          <w:lang w:val="en-US" w:eastAsia="zh-CN"/>
        </w:rPr>
        <w:t>乙方每月需向甲方上报工作报告，甲方每三个月对乙方的工作情况进行考核，考核结果作为支付依据；若考核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涉及服务费扣除，相关金额将在当期应支付费用中予以扣减。</w:t>
      </w:r>
      <w:r>
        <w:rPr>
          <w:rFonts w:hint="eastAsia" w:ascii="仿宋_GB2312" w:hAnsi="仿宋_GB2312" w:eastAsia="仿宋_GB2312" w:cs="仿宋_GB2312"/>
          <w:snapToGrid/>
          <w:color w:val="auto"/>
          <w:kern w:val="0"/>
          <w:sz w:val="20"/>
          <w:szCs w:val="20"/>
          <w:highlight w:val="none"/>
          <w:lang w:val="en-US" w:eastAsia="zh-CN"/>
        </w:rPr>
        <w:t>甲方确认无误后，乙方及时向甲方开具等额增值税普通发票。</w:t>
      </w:r>
    </w:p>
    <w:p w14:paraId="24576EA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五、服务期：自进场之日起一年。</w:t>
      </w:r>
    </w:p>
    <w:p w14:paraId="5CB3A23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六、质量保证</w:t>
      </w:r>
    </w:p>
    <w:p w14:paraId="66081EB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1.安全服务应符合国家有关规范。</w:t>
      </w:r>
    </w:p>
    <w:p w14:paraId="303249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2.乙方应根据服务方案规范及服务质量要求进行服务工作，甲方在服务过程中起到配合、监督及管理的作用。</w:t>
      </w:r>
    </w:p>
    <w:p w14:paraId="1C19F17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3.在服务期内，如果发现服务范围、内容和服务质量等存在与合同中任何一项不符，甲方应在最短时间内，以书面形式向乙方提出索赔，同时通告采购代理机构。</w:t>
      </w:r>
    </w:p>
    <w:p w14:paraId="2E0F2A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/>
        </w:rPr>
        <w:t>七、甲方的权利与义务</w:t>
      </w:r>
    </w:p>
    <w:p w14:paraId="0D45771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1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甲方有权随时对乙方工作及工作量进行抽查。乙方应按要求报送工作计划、工作总结、工作方案及问题整改回复等材料。</w:t>
      </w:r>
    </w:p>
    <w:p w14:paraId="5855D29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2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甲方有权定期核实乙方的工作，监督检查工作质量，下发整改通知单。</w:t>
      </w:r>
    </w:p>
    <w:p w14:paraId="3D22A5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3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为保证工作正常顺利进行，甲方应在职责范围内为乙方工作提供便利。</w:t>
      </w:r>
    </w:p>
    <w:p w14:paraId="706ADBC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4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甲方负责指定专人监督和检查并及时验收乙方工作。</w:t>
      </w:r>
    </w:p>
    <w:p w14:paraId="78FA292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5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.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甲方有权确定工作人数配置。乙方须按照甲方核定人数及标准开展相关工作。</w:t>
      </w:r>
    </w:p>
    <w:p w14:paraId="6BDB92A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6.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甲方可依照考评管理办法，定期对乙方服务开展考核评定。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每三个月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考核周期内，因舆情投诉处置不及时引发重大舆情事件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被相关部门通报的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，累计不得超过3起；超出部分每发生1起，甲方有权向乙方扣除服务费1500元。</w:t>
      </w:r>
    </w:p>
    <w:p w14:paraId="6C91FF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.甲方不得将所乙方提供的车辆用于非法用途。</w:t>
      </w:r>
    </w:p>
    <w:p w14:paraId="06744B4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8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.服务期内遵守国家的各项法律规定，并承担由于违章、违法行为所产生的全部责任和损失。</w:t>
      </w:r>
    </w:p>
    <w:p w14:paraId="6749AE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.甲方如果遗失和损害车辆证照，负责补办。</w:t>
      </w:r>
    </w:p>
    <w:p w14:paraId="38EA4E8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.甲方不得将乙方提供的车辆转让、转租、出售和抵押，不得对乙方提供的车辆进行拆件、换件。</w:t>
      </w:r>
    </w:p>
    <w:p w14:paraId="59C06B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1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1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.甲方有权对乙方的车辆当年检审验证明、保险单据、服务态度和服务质量进行监督和检查。</w:t>
      </w:r>
    </w:p>
    <w:p w14:paraId="1C56632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12.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按期支付服务费用给乙方。</w:t>
      </w:r>
    </w:p>
    <w:p w14:paraId="17AD3A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/>
        </w:rPr>
        <w:t>八、乙方的权利与义务</w:t>
      </w:r>
    </w:p>
    <w:p w14:paraId="708955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1.对本合同规定的委托服务范围内的项目享有管理权及服务义务。</w:t>
      </w:r>
    </w:p>
    <w:p w14:paraId="554145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2.根据本合同的规定向甲方收取相关服务费用，并有权在本项目管理范围内管理及合理使用。</w:t>
      </w:r>
    </w:p>
    <w:p w14:paraId="22C395E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3.及时向甲方通告本项目服务范围内有关服务的重大事项，及时配合处理投诉。</w:t>
      </w:r>
    </w:p>
    <w:p w14:paraId="4D2DE46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4.接受项目行业管理部门及政府有关部门的指导，接受甲方的监督。</w:t>
      </w:r>
    </w:p>
    <w:p w14:paraId="7F6C4CD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5.国家法律、法规所规定由乙方承担的其它责任。</w:t>
      </w:r>
    </w:p>
    <w:p w14:paraId="7F309306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6.乙方应根据市、区安全管理要求，履行安全主体责任，确保全年无安全事故。</w:t>
      </w:r>
    </w:p>
    <w:p w14:paraId="6A4C5A1A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7.乙方提供的车辆应手续合法完备，车辆证件齐全有效，车况良好，车辆保险齐全(包括但不限于：损失险、第三方责任险(保额为100万元人民币)、交强险、不计免赔险、司乘险(5万/座)等)。</w:t>
      </w:r>
    </w:p>
    <w:p w14:paraId="41007A9E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8.乙方负责车辆的日常检查、定期保养、维修工作。车辆维修时，须提供同类型车辆，保障甲方工作用车需求。</w:t>
      </w:r>
    </w:p>
    <w:p w14:paraId="1B42F247"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en-US" w:eastAsia="zh-CN"/>
        </w:rPr>
        <w:t>9.乙方负责做好车辆的日常保洁工作(每月每辆车内外清洗不少于两次，每辆车应配备保障日常所需的玻璃水等消耗用品)。</w:t>
      </w:r>
    </w:p>
    <w:p w14:paraId="69CEAC2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en-US" w:eastAsia="zh-CN"/>
        </w:rPr>
        <w:t>10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.所供车辆发生交通事故后，供应商应积极协助甲方处理相关事宜。事故车辆的维修、索赔等事宜由乙方负责。</w:t>
      </w:r>
    </w:p>
    <w:p w14:paraId="539143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九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/>
        </w:rPr>
        <w:t>、政府采购合同履行</w:t>
      </w:r>
    </w:p>
    <w:p w14:paraId="03FF643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政府采购合同履行中，甲方需追加与合同标的相同服务的，在不改变合同其他条款的前提下，可以与乙方协商签订补充合同，但所有补充合同的采购金额不得超过原合同采购金额的10%。</w:t>
      </w:r>
    </w:p>
    <w:p w14:paraId="12123C3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  <w:t>十、合同争议的解决</w:t>
      </w:r>
    </w:p>
    <w:p w14:paraId="4D4AFC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合同执行中发生争议的，当事人双方应协商解决，协商达不成一致时，向甲方所在地人民法院诉讼解决。</w:t>
      </w:r>
    </w:p>
    <w:p w14:paraId="72C6CC4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  <w:t>十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一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 w:eastAsia="zh-CN"/>
        </w:rPr>
        <w:t>不可抗力情况下的免责约定，双方约定不可抗力情况包括：五级以上地震、大风、大雨、大雪。</w:t>
      </w:r>
    </w:p>
    <w:p w14:paraId="5948338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  <w:t>十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二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auto"/>
          <w:sz w:val="20"/>
          <w:szCs w:val="20"/>
          <w:highlight w:val="none"/>
          <w:lang w:val="zh-CN" w:eastAsia="zh-CN"/>
        </w:rPr>
        <w:t>除本合同约定，合同一经签订，不得擅自变更、中止或者终止合同。对确需变更、调整或者中止、终止合同的，应按规定履行相应的手续。</w:t>
      </w:r>
    </w:p>
    <w:p w14:paraId="6011D2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  <w:t>十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  <w:t>、违约责任</w:t>
      </w:r>
    </w:p>
    <w:p w14:paraId="06BE86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  <w:lang w:val="zh-CN" w:eastAsia="en-US" w:bidi="ar-SA"/>
        </w:rPr>
      </w:pP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-SA"/>
        </w:rPr>
        <w:t>1.</w:t>
      </w: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  <w:lang w:val="zh-CN" w:eastAsia="en-US" w:bidi="ar-SA"/>
        </w:rPr>
        <w:t>乙方未按约定提供相应服务的，甲方有权要求乙方限期改正。限期内乙方不改正或整改不符合合同或甲方要求的，甲方有权单方解除本合同。</w:t>
      </w:r>
    </w:p>
    <w:p w14:paraId="6E2DAE7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00" w:firstLineChars="200"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-SA"/>
        </w:rPr>
        <w:t>2.为维护甲方的切身利益，因乙方原因造成甲方财产损失或者名誉受损的，按有关法律规定处理，由责任方承担违约或赔偿责任。</w:t>
      </w:r>
    </w:p>
    <w:p w14:paraId="12609C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leftChars="0" w:firstLine="400" w:firstLineChars="200"/>
        <w:jc w:val="left"/>
        <w:textAlignment w:val="baseline"/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snapToGrid w:val="0"/>
          <w:color w:val="auto"/>
          <w:kern w:val="0"/>
          <w:sz w:val="20"/>
          <w:szCs w:val="20"/>
          <w:highlight w:val="none"/>
          <w:lang w:val="en-US" w:eastAsia="zh-CN" w:bidi="ar-SA"/>
        </w:rPr>
        <w:t>3.合同期限内，甲方违反本合同约定或法定的义务，致使乙方未达到本合同约定的服务内容、标准或导致乙方不能完全履行本合同的，乙方有权要求甲方在合理期限内解决，乙方不因此承担违约责任。</w:t>
      </w:r>
    </w:p>
    <w:p w14:paraId="4BD8C02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  <w:t>十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val="zh-CN" w:eastAsia="zh-CN"/>
        </w:rPr>
        <w:t>、合同订立</w:t>
      </w:r>
    </w:p>
    <w:p w14:paraId="6BC6E85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1.订立时间：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日。</w:t>
      </w:r>
    </w:p>
    <w:p w14:paraId="2F52D5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2.订立地点：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。</w:t>
      </w:r>
    </w:p>
    <w:p w14:paraId="536A9CE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3.本合同一式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份，具有同等法律效力，双方各执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  <w:t>份，监管部门备案壹份。各方签字盖章后生效，合同执行完毕自动失效。（合同的服务承诺则长期有效）。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2D56C7E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</w:p>
    <w:p w14:paraId="06B3959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00" w:firstLineChars="200"/>
        <w:jc w:val="left"/>
        <w:textAlignment w:val="baseline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  <w:lang w:val="zh-CN"/>
        </w:rPr>
      </w:pPr>
    </w:p>
    <w:tbl>
      <w:tblPr>
        <w:tblStyle w:val="4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07C24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261" w:type="dxa"/>
            <w:tcBorders>
              <w:tl2br w:val="nil"/>
              <w:tr2bl w:val="nil"/>
            </w:tcBorders>
            <w:vAlign w:val="top"/>
          </w:tcPr>
          <w:p w14:paraId="23DEA8A9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甲 方：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（盖章）    </w:t>
            </w:r>
          </w:p>
          <w:p w14:paraId="69D0E571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地 址：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   </w:t>
            </w:r>
          </w:p>
          <w:p w14:paraId="61F0A7CF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邮政编码：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</w:t>
            </w:r>
          </w:p>
          <w:p w14:paraId="36B4AAD2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法定代表人或其授权</w:t>
            </w:r>
          </w:p>
          <w:p w14:paraId="7A4E572B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的代理人：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</w:rPr>
              <w:t>签字或盖章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）      </w:t>
            </w:r>
          </w:p>
          <w:p w14:paraId="4131A957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开户银行：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</w:t>
            </w:r>
          </w:p>
          <w:p w14:paraId="6187F7DB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账号：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    </w:t>
            </w:r>
          </w:p>
          <w:p w14:paraId="208D1388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电话：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    </w:t>
            </w:r>
          </w:p>
          <w:p w14:paraId="7FE7533D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传真：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    </w:t>
            </w:r>
          </w:p>
          <w:p w14:paraId="1657BE5E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电子邮箱：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</w:t>
            </w:r>
          </w:p>
          <w:p w14:paraId="326A5C5E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</w:pPr>
          </w:p>
        </w:tc>
        <w:tc>
          <w:tcPr>
            <w:tcW w:w="4261" w:type="dxa"/>
            <w:tcBorders>
              <w:tl2br w:val="nil"/>
              <w:tr2bl w:val="nil"/>
            </w:tcBorders>
            <w:vAlign w:val="top"/>
          </w:tcPr>
          <w:p w14:paraId="6EB73E29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乙 方：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（盖章）    </w:t>
            </w:r>
          </w:p>
          <w:p w14:paraId="2820C116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地 址：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   </w:t>
            </w:r>
          </w:p>
          <w:p w14:paraId="734D13F4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邮政编码：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</w:t>
            </w:r>
          </w:p>
          <w:p w14:paraId="0A751EEF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法定代表人或其授权</w:t>
            </w:r>
          </w:p>
          <w:p w14:paraId="59D4C793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的代理人：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u w:val="single"/>
              </w:rPr>
              <w:t>签字或盖章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）      </w:t>
            </w:r>
          </w:p>
          <w:p w14:paraId="40F0BB62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开户银行：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</w:t>
            </w:r>
          </w:p>
          <w:p w14:paraId="5E87A6FE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账号：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    </w:t>
            </w:r>
          </w:p>
          <w:p w14:paraId="17ADDF5A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电话：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    </w:t>
            </w:r>
          </w:p>
          <w:p w14:paraId="20548239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传真：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    </w:t>
            </w:r>
          </w:p>
          <w:p w14:paraId="1B15582A">
            <w:pPr>
              <w:widowControl w:val="0"/>
              <w:spacing w:line="360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电子邮箱：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u w:val="single"/>
              </w:rPr>
              <w:t xml:space="preserve">              </w:t>
            </w:r>
          </w:p>
        </w:tc>
      </w:tr>
    </w:tbl>
    <w:p w14:paraId="242C18F0">
      <w:bookmarkStart w:id="19" w:name="_GoBack"/>
      <w:bookmarkEnd w:id="19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1B7DCA"/>
    <w:rsid w:val="5B1B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2026-06-03T08:13:00Z</dcterms:created>
  <dc:creator>刘文龙</dc:creator>
  <cp:lastModifiedBy>刘文龙</cp:lastModifiedBy>
  <dcterms:modified xsi:type="dcterms:W3CDTF">2026-06-03T08:14:12Z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890FD35A78044B7092CF84B0307C2DB0_11</vt:lpwstr>
  </property>
  <property fmtid="{D5CDD505-2E9C-101B-9397-08002B2CF9AE}" pid="4" name="KSOTemplateDocerSaveRecord">
    <vt:lpwstr>eyJoZGlkIjoiZTJmMWRhYTk4MGJiMzcxNjZmNmEyZTA1MmI1MzlmMDQiLCJ1c2VySWQiOiIyMzE5MjM1OTQifQ==</vt:lpwstr>
  </property>
</Properties>
</file>