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65237">
      <w:pPr>
        <w:jc w:val="center"/>
        <w:rPr>
          <w:rFonts w:hint="eastAsia"/>
          <w:sz w:val="24"/>
          <w:szCs w:val="32"/>
          <w:lang w:val="en-US" w:eastAsia="zh-CN"/>
        </w:rPr>
      </w:pPr>
      <w:r>
        <w:rPr>
          <w:rFonts w:hint="eastAsia"/>
          <w:sz w:val="24"/>
          <w:szCs w:val="32"/>
          <w:lang w:val="en-US" w:eastAsia="zh-CN"/>
        </w:rPr>
        <w:t>采购需求</w:t>
      </w:r>
    </w:p>
    <w:tbl>
      <w:tblPr>
        <w:tblStyle w:val="2"/>
        <w:tblW w:w="48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4"/>
        <w:gridCol w:w="477"/>
        <w:gridCol w:w="6791"/>
      </w:tblGrid>
      <w:tr w14:paraId="0DF19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5B33D103">
            <w:pPr>
              <w:kinsoku w:val="0"/>
              <w:overflowPunct w:val="0"/>
              <w:spacing w:before="2" w:line="360" w:lineRule="auto"/>
              <w:rPr>
                <w:rFonts w:hint="eastAsia" w:ascii="宋体" w:hAnsi="宋体" w:eastAsia="宋体" w:cs="仿宋"/>
                <w:b/>
                <w:color w:val="000000" w:themeColor="text1"/>
                <w:sz w:val="24"/>
                <w14:textFill>
                  <w14:solidFill>
                    <w14:schemeClr w14:val="tx1"/>
                  </w14:solidFill>
                </w14:textFill>
              </w:rPr>
            </w:pPr>
            <w:bookmarkStart w:id="0" w:name="OLE_LINK12"/>
            <w:r>
              <w:rPr>
                <w:rFonts w:hint="eastAsia" w:ascii="宋体" w:hAnsi="宋体" w:cs="仿宋"/>
                <w:b/>
                <w:color w:val="000000" w:themeColor="text1"/>
                <w:sz w:val="24"/>
                <w14:textFill>
                  <w14:solidFill>
                    <w14:schemeClr w14:val="tx1"/>
                  </w14:solidFill>
                </w14:textFill>
              </w:rPr>
              <w:t>序号</w:t>
            </w:r>
          </w:p>
        </w:tc>
        <w:tc>
          <w:tcPr>
            <w:tcW w:w="287" w:type="pct"/>
            <w:tcBorders>
              <w:top w:val="single" w:color="auto" w:sz="4" w:space="0"/>
              <w:left w:val="single" w:color="auto" w:sz="4" w:space="0"/>
              <w:bottom w:val="single" w:color="auto" w:sz="4" w:space="0"/>
              <w:right w:val="single" w:color="auto" w:sz="4" w:space="0"/>
            </w:tcBorders>
            <w:vAlign w:val="center"/>
          </w:tcPr>
          <w:p w14:paraId="1F01826A">
            <w:pPr>
              <w:kinsoku w:val="0"/>
              <w:overflowPunct w:val="0"/>
              <w:spacing w:before="2" w:line="360" w:lineRule="auto"/>
              <w:jc w:val="center"/>
              <w:rPr>
                <w:rFonts w:hint="eastAsia" w:ascii="宋体" w:hAnsi="宋体" w:eastAsia="宋体" w:cs="仿宋"/>
                <w:b/>
                <w:color w:val="000000" w:themeColor="text1"/>
                <w:sz w:val="24"/>
                <w14:textFill>
                  <w14:solidFill>
                    <w14:schemeClr w14:val="tx1"/>
                  </w14:solidFill>
                </w14:textFill>
              </w:rPr>
            </w:pPr>
            <w:r>
              <w:rPr>
                <w:rFonts w:hint="eastAsia" w:ascii="宋体" w:hAnsi="宋体" w:eastAsia="宋体" w:cs="仿宋"/>
                <w:b/>
                <w:color w:val="000000" w:themeColor="text1"/>
                <w:sz w:val="24"/>
                <w14:textFill>
                  <w14:solidFill>
                    <w14:schemeClr w14:val="tx1"/>
                  </w14:solidFill>
                </w14:textFill>
              </w:rPr>
              <w:t>参数性质</w:t>
            </w:r>
          </w:p>
        </w:tc>
        <w:tc>
          <w:tcPr>
            <w:tcW w:w="4083" w:type="pct"/>
            <w:tcBorders>
              <w:top w:val="single" w:color="auto" w:sz="4" w:space="0"/>
              <w:left w:val="single" w:color="auto" w:sz="4" w:space="0"/>
              <w:bottom w:val="single" w:color="auto" w:sz="4" w:space="0"/>
              <w:right w:val="single" w:color="auto" w:sz="4" w:space="0"/>
            </w:tcBorders>
            <w:vAlign w:val="center"/>
          </w:tcPr>
          <w:p w14:paraId="5D924FF1">
            <w:pPr>
              <w:kinsoku w:val="0"/>
              <w:overflowPunct w:val="0"/>
              <w:spacing w:before="2" w:line="360" w:lineRule="auto"/>
              <w:jc w:val="center"/>
              <w:rPr>
                <w:rFonts w:hint="eastAsia" w:ascii="宋体" w:hAnsi="宋体" w:eastAsia="宋体" w:cs="仿宋"/>
                <w:b/>
                <w:color w:val="000000" w:themeColor="text1"/>
                <w:sz w:val="24"/>
                <w14:textFill>
                  <w14:solidFill>
                    <w14:schemeClr w14:val="tx1"/>
                  </w14:solidFill>
                </w14:textFill>
              </w:rPr>
            </w:pPr>
            <w:r>
              <w:rPr>
                <w:rFonts w:hint="eastAsia" w:ascii="宋体" w:hAnsi="宋体" w:eastAsia="宋体" w:cs="仿宋"/>
                <w:b/>
                <w:color w:val="000000" w:themeColor="text1"/>
                <w:sz w:val="24"/>
                <w14:textFill>
                  <w14:solidFill>
                    <w14:schemeClr w14:val="tx1"/>
                  </w14:solidFill>
                </w14:textFill>
              </w:rPr>
              <w:t>技术参数与性能指标</w:t>
            </w:r>
            <w:bookmarkStart w:id="4" w:name="_GoBack"/>
            <w:bookmarkEnd w:id="4"/>
          </w:p>
        </w:tc>
      </w:tr>
      <w:tr w14:paraId="1E68E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6230BEEC">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31C96491">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p>
        </w:tc>
        <w:tc>
          <w:tcPr>
            <w:tcW w:w="4083" w:type="pct"/>
            <w:tcBorders>
              <w:top w:val="single" w:color="auto" w:sz="4" w:space="0"/>
              <w:left w:val="single" w:color="auto" w:sz="4" w:space="0"/>
              <w:bottom w:val="single" w:color="auto" w:sz="4" w:space="0"/>
              <w:right w:val="single" w:color="auto" w:sz="4" w:space="0"/>
            </w:tcBorders>
            <w:vAlign w:val="center"/>
          </w:tcPr>
          <w:p w14:paraId="690D0346">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设备</w:t>
            </w:r>
            <w:r>
              <w:rPr>
                <w:rFonts w:ascii="宋体" w:hAnsi="宋体" w:eastAsia="宋体" w:cs="仿宋"/>
                <w:color w:val="000000" w:themeColor="text1"/>
                <w:sz w:val="24"/>
                <w14:textFill>
                  <w14:solidFill>
                    <w14:schemeClr w14:val="tx1"/>
                  </w14:solidFill>
                </w14:textFill>
              </w:rPr>
              <w:t>描述：</w:t>
            </w:r>
            <w:r>
              <w:rPr>
                <w:rFonts w:hint="eastAsia" w:ascii="宋体" w:hAnsi="宋体" w:eastAsia="宋体" w:cs="仿宋"/>
                <w:color w:val="000000" w:themeColor="text1"/>
                <w:sz w:val="24"/>
                <w14:textFill>
                  <w14:solidFill>
                    <w14:schemeClr w14:val="tx1"/>
                  </w14:solidFill>
                </w14:textFill>
              </w:rPr>
              <w:t>一套采用筒式承载结构，加载模式为可做拉伸、压缩试验等三轴力学高温高压</w:t>
            </w:r>
            <w:r>
              <w:rPr>
                <w:rFonts w:ascii="宋体" w:hAnsi="宋体" w:eastAsia="宋体" w:cs="仿宋"/>
                <w:color w:val="000000" w:themeColor="text1"/>
                <w:sz w:val="24"/>
                <w14:textFill>
                  <w14:solidFill>
                    <w14:schemeClr w14:val="tx1"/>
                  </w14:solidFill>
                </w14:textFill>
              </w:rPr>
              <w:t>渗流</w:t>
            </w:r>
            <w:r>
              <w:rPr>
                <w:rFonts w:hint="eastAsia" w:ascii="宋体" w:hAnsi="宋体" w:eastAsia="宋体" w:cs="仿宋"/>
                <w:color w:val="000000" w:themeColor="text1"/>
                <w:sz w:val="24"/>
                <w14:textFill>
                  <w14:solidFill>
                    <w14:schemeClr w14:val="tx1"/>
                  </w14:solidFill>
                </w14:textFill>
              </w:rPr>
              <w:t>多场耦合试验，配备液压作动器；并</w:t>
            </w:r>
            <w:r>
              <w:rPr>
                <w:rFonts w:ascii="宋体" w:hAnsi="宋体" w:eastAsia="宋体" w:cs="仿宋"/>
                <w:color w:val="000000" w:themeColor="text1"/>
                <w:sz w:val="24"/>
                <w14:textFill>
                  <w14:solidFill>
                    <w14:schemeClr w14:val="tx1"/>
                  </w14:solidFill>
                </w14:textFill>
              </w:rPr>
              <w:t>单独配备</w:t>
            </w:r>
            <w:r>
              <w:rPr>
                <w:rFonts w:hint="eastAsia" w:ascii="宋体" w:hAnsi="宋体" w:eastAsia="宋体" w:cs="仿宋"/>
                <w:color w:val="000000" w:themeColor="text1"/>
                <w:sz w:val="24"/>
                <w14:textFill>
                  <w14:solidFill>
                    <w14:schemeClr w14:val="tx1"/>
                  </w14:solidFill>
                </w14:textFill>
              </w:rPr>
              <w:t>两</w:t>
            </w:r>
            <w:r>
              <w:rPr>
                <w:rFonts w:ascii="宋体" w:hAnsi="宋体" w:eastAsia="宋体" w:cs="仿宋"/>
                <w:color w:val="000000" w:themeColor="text1"/>
                <w:sz w:val="24"/>
                <w14:textFill>
                  <w14:solidFill>
                    <w14:schemeClr w14:val="tx1"/>
                  </w14:solidFill>
                </w14:textFill>
              </w:rPr>
              <w:t>套原位</w:t>
            </w:r>
            <w:r>
              <w:rPr>
                <w:rFonts w:hint="eastAsia" w:ascii="宋体" w:hAnsi="宋体" w:eastAsia="宋体" w:cs="仿宋"/>
                <w:color w:val="000000" w:themeColor="text1"/>
                <w:sz w:val="24"/>
                <w14:textFill>
                  <w14:solidFill>
                    <w14:schemeClr w14:val="tx1"/>
                  </w14:solidFill>
                </w14:textFill>
              </w:rPr>
              <w:t>多相流体</w:t>
            </w:r>
            <w:r>
              <w:rPr>
                <w:rFonts w:ascii="宋体" w:hAnsi="宋体" w:eastAsia="宋体" w:cs="仿宋"/>
                <w:color w:val="000000" w:themeColor="text1"/>
                <w:sz w:val="24"/>
                <w14:textFill>
                  <w14:solidFill>
                    <w14:schemeClr w14:val="tx1"/>
                  </w14:solidFill>
                </w14:textFill>
              </w:rPr>
              <w:t>驱替系统；</w:t>
            </w:r>
            <w:r>
              <w:rPr>
                <w:rFonts w:hint="eastAsia" w:ascii="宋体" w:hAnsi="宋体" w:eastAsia="宋体" w:cs="仿宋"/>
                <w:color w:val="000000" w:themeColor="text1"/>
                <w:sz w:val="24"/>
                <w14:textFill>
                  <w14:solidFill>
                    <w14:schemeClr w14:val="tx1"/>
                  </w14:solidFill>
                </w14:textFill>
              </w:rPr>
              <w:t>整套设备要求</w:t>
            </w:r>
            <w:r>
              <w:rPr>
                <w:rFonts w:ascii="宋体" w:hAnsi="宋体" w:eastAsia="宋体" w:cs="仿宋"/>
                <w:color w:val="000000" w:themeColor="text1"/>
                <w:sz w:val="24"/>
                <w14:textFill>
                  <w14:solidFill>
                    <w14:schemeClr w14:val="tx1"/>
                  </w14:solidFill>
                </w14:textFill>
              </w:rPr>
              <w:t>采用耐弱酸材料；</w:t>
            </w:r>
            <w:r>
              <w:rPr>
                <w:rFonts w:hint="eastAsia" w:ascii="宋体" w:hAnsi="宋体" w:eastAsia="宋体" w:cs="仿宋"/>
                <w:color w:val="000000" w:themeColor="text1"/>
                <w:sz w:val="24"/>
                <w14:textFill>
                  <w14:solidFill>
                    <w14:schemeClr w14:val="tx1"/>
                  </w14:solidFill>
                </w14:textFill>
              </w:rPr>
              <w:t>并适配</w:t>
            </w:r>
            <w:r>
              <w:rPr>
                <w:rFonts w:hint="eastAsia" w:ascii="宋体" w:hAnsi="宋体" w:eastAsia="宋体" w:cs="仿宋_GB2312"/>
                <w:sz w:val="24"/>
              </w:rPr>
              <w:t>于</w:t>
            </w:r>
            <w:r>
              <w:rPr>
                <w:rFonts w:ascii="宋体" w:hAnsi="宋体" w:eastAsia="宋体" w:cs="仿宋_GB2312"/>
                <w:sz w:val="24"/>
              </w:rPr>
              <w:t>“</w:t>
            </w:r>
            <w:r>
              <w:rPr>
                <w:rFonts w:hint="eastAsia" w:ascii="宋体" w:hAnsi="宋体" w:eastAsia="宋体" w:cs="仿宋_GB2312"/>
                <w:sz w:val="24"/>
              </w:rPr>
              <w:t>工业CT扫描系统</w:t>
            </w:r>
            <w:r>
              <w:rPr>
                <w:rFonts w:ascii="宋体" w:hAnsi="宋体" w:eastAsia="宋体" w:cs="仿宋_GB2312"/>
                <w:sz w:val="24"/>
              </w:rPr>
              <w:t>”</w:t>
            </w:r>
            <w:r>
              <w:rPr>
                <w:rFonts w:hint="eastAsia" w:ascii="宋体" w:hAnsi="宋体" w:eastAsia="宋体" w:cs="仿宋"/>
                <w:color w:val="000000" w:themeColor="text1"/>
                <w:sz w:val="24"/>
                <w14:textFill>
                  <w14:solidFill>
                    <w14:schemeClr w14:val="tx1"/>
                  </w14:solidFill>
                </w14:textFill>
              </w:rPr>
              <w:t xml:space="preserve"> </w:t>
            </w:r>
          </w:p>
        </w:tc>
      </w:tr>
      <w:tr w14:paraId="01261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6D5857DF">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74C424AC">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p>
        </w:tc>
        <w:tc>
          <w:tcPr>
            <w:tcW w:w="4083" w:type="pct"/>
            <w:tcBorders>
              <w:top w:val="single" w:color="auto" w:sz="4" w:space="0"/>
              <w:left w:val="single" w:color="auto" w:sz="4" w:space="0"/>
              <w:bottom w:val="single" w:color="auto" w:sz="4" w:space="0"/>
              <w:right w:val="single" w:color="auto" w:sz="4" w:space="0"/>
            </w:tcBorders>
            <w:vAlign w:val="center"/>
          </w:tcPr>
          <w:p w14:paraId="7F2E361C">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整机重量≤45kg，</w:t>
            </w:r>
            <w:r>
              <w:rPr>
                <w:rFonts w:hint="eastAsia" w:ascii="宋体" w:hAnsi="宋体" w:eastAsia="宋体" w:cs="仿宋"/>
                <w:color w:val="auto"/>
                <w:sz w:val="24"/>
              </w:rPr>
              <w:t>尺寸直径</w:t>
            </w:r>
            <w:r>
              <w:rPr>
                <w:rFonts w:hint="eastAsia" w:ascii="宋体" w:hAnsi="宋体" w:eastAsia="宋体" w:cs="仿宋"/>
                <w:color w:val="000000" w:themeColor="text1"/>
                <w:sz w:val="24"/>
                <w14:textFill>
                  <w14:solidFill>
                    <w14:schemeClr w14:val="tx1"/>
                  </w14:solidFill>
                </w14:textFill>
              </w:rPr>
              <w:t>≤</w:t>
            </w:r>
            <w:r>
              <w:rPr>
                <w:rFonts w:ascii="宋体" w:hAnsi="宋体" w:eastAsia="宋体" w:cs="仿宋"/>
                <w:color w:val="000000" w:themeColor="text1"/>
                <w:sz w:val="24"/>
                <w14:textFill>
                  <w14:solidFill>
                    <w14:schemeClr w14:val="tx1"/>
                  </w14:solidFill>
                </w14:textFill>
              </w:rPr>
              <w:t>600mm，高度</w:t>
            </w:r>
            <w:r>
              <w:rPr>
                <w:rFonts w:hint="eastAsia" w:ascii="宋体" w:hAnsi="宋体" w:eastAsia="宋体" w:cs="仿宋"/>
                <w:color w:val="000000" w:themeColor="text1"/>
                <w:sz w:val="24"/>
                <w14:textFill>
                  <w14:solidFill>
                    <w14:schemeClr w14:val="tx1"/>
                  </w14:solidFill>
                </w14:textFill>
              </w:rPr>
              <w:t>≤</w:t>
            </w:r>
            <w:r>
              <w:rPr>
                <w:rFonts w:ascii="宋体" w:hAnsi="宋体" w:eastAsia="宋体" w:cs="仿宋"/>
                <w:color w:val="000000" w:themeColor="text1"/>
                <w:sz w:val="24"/>
                <w14:textFill>
                  <w14:solidFill>
                    <w14:schemeClr w14:val="tx1"/>
                  </w14:solidFill>
                </w14:textFill>
              </w:rPr>
              <w:t>1000mm</w:t>
            </w:r>
          </w:p>
        </w:tc>
      </w:tr>
      <w:tr w14:paraId="141C1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53D6BF35">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329477AC">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p>
        </w:tc>
        <w:tc>
          <w:tcPr>
            <w:tcW w:w="4083" w:type="pct"/>
            <w:tcBorders>
              <w:top w:val="single" w:color="auto" w:sz="4" w:space="0"/>
              <w:left w:val="single" w:color="auto" w:sz="4" w:space="0"/>
              <w:bottom w:val="single" w:color="auto" w:sz="4" w:space="0"/>
              <w:right w:val="single" w:color="auto" w:sz="4" w:space="0"/>
            </w:tcBorders>
            <w:vAlign w:val="center"/>
          </w:tcPr>
          <w:p w14:paraId="33F66AAE">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最大围压：≥30MPa，压力传感器量程范围≥：0～40MPa，分辨率≤0.1Pa；</w:t>
            </w:r>
          </w:p>
        </w:tc>
      </w:tr>
      <w:tr w14:paraId="14E31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206C5547">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39B699C3">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w:t>
            </w:r>
          </w:p>
        </w:tc>
        <w:tc>
          <w:tcPr>
            <w:tcW w:w="4083" w:type="pct"/>
            <w:tcBorders>
              <w:top w:val="single" w:color="auto" w:sz="4" w:space="0"/>
              <w:left w:val="single" w:color="auto" w:sz="4" w:space="0"/>
              <w:bottom w:val="single" w:color="auto" w:sz="4" w:space="0"/>
              <w:right w:val="single" w:color="auto" w:sz="4" w:space="0"/>
            </w:tcBorders>
            <w:vAlign w:val="center"/>
          </w:tcPr>
          <w:p w14:paraId="79BFB4B9">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围压控制</w:t>
            </w:r>
            <w:r>
              <w:rPr>
                <w:rFonts w:ascii="宋体" w:hAnsi="宋体" w:eastAsia="宋体" w:cs="仿宋"/>
                <w:color w:val="000000" w:themeColor="text1"/>
                <w:sz w:val="24"/>
                <w14:textFill>
                  <w14:solidFill>
                    <w14:schemeClr w14:val="tx1"/>
                  </w14:solidFill>
                </w14:textFill>
              </w:rPr>
              <w:t>示值误差≤0</w:t>
            </w:r>
            <w:r>
              <w:rPr>
                <w:rFonts w:hint="eastAsia" w:ascii="宋体" w:hAnsi="宋体" w:eastAsia="宋体" w:cs="仿宋"/>
                <w:color w:val="000000" w:themeColor="text1"/>
                <w:sz w:val="24"/>
                <w14:textFill>
                  <w14:solidFill>
                    <w14:schemeClr w14:val="tx1"/>
                  </w14:solidFill>
                </w14:textFill>
              </w:rPr>
              <w:t>±0.5%F.S； 渗流压力范围≥：0～30MPa，渗流流量范围≥：0.001-10ml/min</w:t>
            </w:r>
          </w:p>
        </w:tc>
      </w:tr>
      <w:tr w14:paraId="5408A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1F6729D9">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522269FF">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w:t>
            </w:r>
          </w:p>
        </w:tc>
        <w:tc>
          <w:tcPr>
            <w:tcW w:w="4083" w:type="pct"/>
            <w:tcBorders>
              <w:top w:val="single" w:color="auto" w:sz="4" w:space="0"/>
              <w:left w:val="single" w:color="auto" w:sz="4" w:space="0"/>
              <w:bottom w:val="single" w:color="auto" w:sz="4" w:space="0"/>
              <w:right w:val="single" w:color="auto" w:sz="4" w:space="0"/>
            </w:tcBorders>
            <w:vAlign w:val="center"/>
          </w:tcPr>
          <w:p w14:paraId="6F9CA1E8">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拉向≥</w:t>
            </w:r>
            <w:r>
              <w:rPr>
                <w:rFonts w:ascii="宋体" w:hAnsi="宋体" w:eastAsia="宋体" w:cs="仿宋"/>
                <w:color w:val="000000" w:themeColor="text1"/>
                <w:sz w:val="24"/>
                <w14:textFill>
                  <w14:solidFill>
                    <w14:schemeClr w14:val="tx1"/>
                  </w14:solidFill>
                </w14:textFill>
              </w:rPr>
              <w:t>10</w:t>
            </w:r>
            <w:r>
              <w:rPr>
                <w:rFonts w:hint="eastAsia" w:ascii="宋体" w:hAnsi="宋体" w:eastAsia="宋体" w:cs="仿宋"/>
                <w:color w:val="000000" w:themeColor="text1"/>
                <w:sz w:val="24"/>
                <w14:textFill>
                  <w14:solidFill>
                    <w14:schemeClr w14:val="tx1"/>
                  </w14:solidFill>
                </w14:textFill>
              </w:rPr>
              <w:t>0KN、压向≥</w:t>
            </w:r>
            <w:r>
              <w:rPr>
                <w:rFonts w:ascii="宋体" w:hAnsi="宋体" w:eastAsia="宋体" w:cs="仿宋"/>
                <w:color w:val="000000" w:themeColor="text1"/>
                <w:sz w:val="24"/>
                <w14:textFill>
                  <w14:solidFill>
                    <w14:schemeClr w14:val="tx1"/>
                  </w14:solidFill>
                </w14:textFill>
              </w:rPr>
              <w:t>10</w:t>
            </w:r>
            <w:r>
              <w:rPr>
                <w:rFonts w:hint="eastAsia" w:ascii="宋体" w:hAnsi="宋体" w:eastAsia="宋体" w:cs="仿宋"/>
                <w:color w:val="000000" w:themeColor="text1"/>
                <w:sz w:val="24"/>
                <w14:textFill>
                  <w14:solidFill>
                    <w14:schemeClr w14:val="tx1"/>
                  </w14:solidFill>
                </w14:textFill>
              </w:rPr>
              <w:t>0KN，</w:t>
            </w:r>
            <w:r>
              <w:rPr>
                <w:rFonts w:ascii="宋体" w:hAnsi="宋体" w:eastAsia="宋体" w:cs="仿宋"/>
                <w:color w:val="000000" w:themeColor="text1"/>
                <w:sz w:val="24"/>
                <w14:textFill>
                  <w14:solidFill>
                    <w14:schemeClr w14:val="tx1"/>
                  </w14:solidFill>
                </w14:textFill>
              </w:rPr>
              <w:t>需要提供具备资质的</w:t>
            </w:r>
            <w:r>
              <w:rPr>
                <w:rFonts w:hint="eastAsia" w:ascii="宋体" w:hAnsi="宋体" w:eastAsia="宋体" w:cs="仿宋"/>
                <w:color w:val="000000" w:themeColor="text1"/>
                <w:sz w:val="24"/>
                <w:lang w:eastAsia="zh-CN"/>
                <w14:textFill>
                  <w14:solidFill>
                    <w14:schemeClr w14:val="tx1"/>
                  </w14:solidFill>
                </w14:textFill>
              </w:rPr>
              <w:t>第三方检测报告</w:t>
            </w:r>
            <w:r>
              <w:rPr>
                <w:rFonts w:hint="eastAsia" w:ascii="宋体" w:hAnsi="宋体" w:eastAsia="宋体" w:cs="仿宋"/>
                <w:color w:val="000000" w:themeColor="text1"/>
                <w:sz w:val="24"/>
                <w14:textFill>
                  <w14:solidFill>
                    <w14:schemeClr w14:val="tx1"/>
                  </w14:solidFill>
                </w14:textFill>
              </w:rPr>
              <w:t>。</w:t>
            </w:r>
          </w:p>
        </w:tc>
      </w:tr>
      <w:tr w14:paraId="49392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40A706DE">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3F363ABC">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w:t>
            </w:r>
          </w:p>
        </w:tc>
        <w:tc>
          <w:tcPr>
            <w:tcW w:w="4083" w:type="pct"/>
            <w:tcBorders>
              <w:top w:val="single" w:color="auto" w:sz="4" w:space="0"/>
              <w:left w:val="single" w:color="auto" w:sz="4" w:space="0"/>
              <w:bottom w:val="single" w:color="auto" w:sz="4" w:space="0"/>
              <w:right w:val="single" w:color="auto" w:sz="4" w:space="0"/>
            </w:tcBorders>
            <w:vAlign w:val="center"/>
          </w:tcPr>
          <w:p w14:paraId="20CCABAC">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动态载荷≥</w:t>
            </w:r>
            <w:r>
              <w:rPr>
                <w:rFonts w:ascii="宋体" w:hAnsi="宋体" w:eastAsia="宋体" w:cs="仿宋"/>
                <w:color w:val="000000" w:themeColor="text1"/>
                <w:sz w:val="24"/>
                <w14:textFill>
                  <w14:solidFill>
                    <w14:schemeClr w14:val="tx1"/>
                  </w14:solidFill>
                </w14:textFill>
              </w:rPr>
              <w:t>8</w:t>
            </w:r>
            <w:r>
              <w:rPr>
                <w:rFonts w:hint="eastAsia" w:ascii="宋体" w:hAnsi="宋体" w:eastAsia="宋体" w:cs="仿宋"/>
                <w:color w:val="000000" w:themeColor="text1"/>
                <w:sz w:val="24"/>
                <w14:textFill>
                  <w14:solidFill>
                    <w14:schemeClr w14:val="tx1"/>
                  </w14:solidFill>
                </w14:textFill>
              </w:rPr>
              <w:t>0KN；</w:t>
            </w:r>
            <w:r>
              <w:rPr>
                <w:rFonts w:ascii="宋体" w:hAnsi="宋体" w:eastAsia="宋体" w:cs="仿宋"/>
                <w:color w:val="000000" w:themeColor="text1"/>
                <w:sz w:val="24"/>
                <w14:textFill>
                  <w14:solidFill>
                    <w14:schemeClr w14:val="tx1"/>
                  </w14:solidFill>
                </w14:textFill>
              </w:rPr>
              <w:t>需要提供具备资质的</w:t>
            </w:r>
            <w:r>
              <w:rPr>
                <w:rFonts w:hint="eastAsia" w:ascii="宋体" w:hAnsi="宋体" w:eastAsia="宋体" w:cs="仿宋"/>
                <w:color w:val="000000" w:themeColor="text1"/>
                <w:sz w:val="24"/>
                <w:lang w:eastAsia="zh-CN"/>
                <w14:textFill>
                  <w14:solidFill>
                    <w14:schemeClr w14:val="tx1"/>
                  </w14:solidFill>
                </w14:textFill>
              </w:rPr>
              <w:t>第三方检测报告</w:t>
            </w:r>
            <w:r>
              <w:rPr>
                <w:rFonts w:hint="eastAsia" w:ascii="宋体" w:hAnsi="宋体" w:eastAsia="宋体" w:cs="仿宋"/>
                <w:color w:val="000000" w:themeColor="text1"/>
                <w:sz w:val="24"/>
                <w14:textFill>
                  <w14:solidFill>
                    <w14:schemeClr w14:val="tx1"/>
                  </w14:solidFill>
                </w14:textFill>
              </w:rPr>
              <w:t>。</w:t>
            </w:r>
          </w:p>
        </w:tc>
      </w:tr>
      <w:tr w14:paraId="7FDAD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0C797AC0">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4B33BB5C">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p>
        </w:tc>
        <w:tc>
          <w:tcPr>
            <w:tcW w:w="4083" w:type="pct"/>
            <w:tcBorders>
              <w:top w:val="single" w:color="auto" w:sz="4" w:space="0"/>
              <w:left w:val="single" w:color="auto" w:sz="4" w:space="0"/>
              <w:bottom w:val="single" w:color="auto" w:sz="4" w:space="0"/>
              <w:right w:val="single" w:color="auto" w:sz="4" w:space="0"/>
            </w:tcBorders>
            <w:vAlign w:val="center"/>
          </w:tcPr>
          <w:p w14:paraId="08AF332C">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试样尺寸空间：</w:t>
            </w:r>
            <w:bookmarkStart w:id="1" w:name="OLE_LINK5"/>
            <w:bookmarkStart w:id="2" w:name="OLE_LINK4"/>
            <w:r>
              <w:rPr>
                <w:rFonts w:hint="eastAsia" w:ascii="宋体" w:hAnsi="宋体" w:eastAsia="宋体" w:cs="仿宋"/>
                <w:color w:val="000000" w:themeColor="text1"/>
                <w:sz w:val="24"/>
                <w14:textFill>
                  <w14:solidFill>
                    <w14:schemeClr w14:val="tx1"/>
                  </w14:solidFill>
                </w14:textFill>
              </w:rPr>
              <w:t>适应</w:t>
            </w:r>
            <w:r>
              <w:rPr>
                <w:rFonts w:ascii="宋体" w:hAnsi="宋体" w:eastAsia="宋体" w:cs="仿宋"/>
                <w:color w:val="000000" w:themeColor="text1"/>
                <w:sz w:val="24"/>
                <w14:textFill>
                  <w14:solidFill>
                    <w14:schemeClr w14:val="tx1"/>
                  </w14:solidFill>
                </w14:textFill>
              </w:rPr>
              <w:t>GB/T 50266-2013</w:t>
            </w:r>
            <w:r>
              <w:rPr>
                <w:rFonts w:hint="eastAsia" w:ascii="宋体" w:hAnsi="宋体" w:eastAsia="宋体" w:cs="仿宋"/>
                <w:color w:val="000000" w:themeColor="text1"/>
                <w:sz w:val="24"/>
                <w14:textFill>
                  <w14:solidFill>
                    <w14:schemeClr w14:val="tx1"/>
                  </w14:solidFill>
                </w14:textFill>
              </w:rPr>
              <w:t>中要求岩心直径50mm，长度100mm；</w:t>
            </w:r>
            <w:bookmarkEnd w:id="1"/>
            <w:bookmarkEnd w:id="2"/>
            <w:r>
              <w:rPr>
                <w:rFonts w:hint="eastAsia" w:ascii="宋体" w:hAnsi="宋体" w:eastAsia="宋体" w:cs="仿宋"/>
                <w:color w:val="000000" w:themeColor="text1"/>
                <w:sz w:val="24"/>
                <w14:textFill>
                  <w14:solidFill>
                    <w14:schemeClr w14:val="tx1"/>
                  </w14:solidFill>
                </w14:textFill>
              </w:rPr>
              <w:t>适应</w:t>
            </w:r>
            <w:r>
              <w:rPr>
                <w:rFonts w:ascii="宋体" w:hAnsi="宋体" w:eastAsia="宋体" w:cs="仿宋"/>
                <w:color w:val="000000" w:themeColor="text1"/>
                <w:sz w:val="24"/>
                <w14:textFill>
                  <w14:solidFill>
                    <w14:schemeClr w14:val="tx1"/>
                  </w14:solidFill>
                </w14:textFill>
              </w:rPr>
              <w:t>SY/T 5276-2000</w:t>
            </w:r>
            <w:r>
              <w:rPr>
                <w:rFonts w:hint="eastAsia" w:ascii="宋体" w:hAnsi="宋体" w:eastAsia="宋体" w:cs="仿宋"/>
                <w:color w:val="000000" w:themeColor="text1"/>
                <w:sz w:val="24"/>
                <w14:textFill>
                  <w14:solidFill>
                    <w14:schemeClr w14:val="tx1"/>
                  </w14:solidFill>
                </w14:textFill>
              </w:rPr>
              <w:t>中要求岩心直径</w:t>
            </w:r>
            <w:r>
              <w:rPr>
                <w:rFonts w:ascii="宋体" w:hAnsi="宋体" w:eastAsia="宋体" w:cs="仿宋"/>
                <w:color w:val="000000" w:themeColor="text1"/>
                <w:sz w:val="24"/>
                <w14:textFill>
                  <w14:solidFill>
                    <w14:schemeClr w14:val="tx1"/>
                  </w14:solidFill>
                </w14:textFill>
              </w:rPr>
              <w:t>25</w:t>
            </w:r>
            <w:r>
              <w:rPr>
                <w:rFonts w:hint="eastAsia" w:ascii="宋体" w:hAnsi="宋体" w:eastAsia="宋体" w:cs="仿宋"/>
                <w:color w:val="000000" w:themeColor="text1"/>
                <w:sz w:val="24"/>
                <w14:textFill>
                  <w14:solidFill>
                    <w14:schemeClr w14:val="tx1"/>
                  </w14:solidFill>
                </w14:textFill>
              </w:rPr>
              <w:t>mm，长度</w:t>
            </w:r>
            <w:r>
              <w:rPr>
                <w:rFonts w:ascii="宋体" w:hAnsi="宋体" w:eastAsia="宋体" w:cs="仿宋"/>
                <w:color w:val="000000" w:themeColor="text1"/>
                <w:sz w:val="24"/>
                <w14:textFill>
                  <w14:solidFill>
                    <w14:schemeClr w14:val="tx1"/>
                  </w14:solidFill>
                </w14:textFill>
              </w:rPr>
              <w:t>50</w:t>
            </w:r>
            <w:r>
              <w:rPr>
                <w:rFonts w:hint="eastAsia" w:ascii="宋体" w:hAnsi="宋体" w:eastAsia="宋体" w:cs="仿宋"/>
                <w:color w:val="000000" w:themeColor="text1"/>
                <w:sz w:val="24"/>
                <w14:textFill>
                  <w14:solidFill>
                    <w14:schemeClr w14:val="tx1"/>
                  </w14:solidFill>
                </w14:textFill>
              </w:rPr>
              <w:t>mm；非标岩心直径</w:t>
            </w:r>
            <w:r>
              <w:rPr>
                <w:rFonts w:ascii="宋体" w:hAnsi="宋体" w:eastAsia="宋体" w:cs="仿宋"/>
                <w:color w:val="000000" w:themeColor="text1"/>
                <w:sz w:val="24"/>
                <w14:textFill>
                  <w14:solidFill>
                    <w14:schemeClr w14:val="tx1"/>
                  </w14:solidFill>
                </w14:textFill>
              </w:rPr>
              <w:t>10</w:t>
            </w:r>
            <w:r>
              <w:rPr>
                <w:rFonts w:hint="eastAsia" w:ascii="宋体" w:hAnsi="宋体" w:eastAsia="宋体" w:cs="仿宋"/>
                <w:color w:val="000000" w:themeColor="text1"/>
                <w:sz w:val="24"/>
                <w14:textFill>
                  <w14:solidFill>
                    <w14:schemeClr w14:val="tx1"/>
                  </w14:solidFill>
                </w14:textFill>
              </w:rPr>
              <w:t>mm，长度</w:t>
            </w:r>
            <w:r>
              <w:rPr>
                <w:rFonts w:ascii="宋体" w:hAnsi="宋体" w:eastAsia="宋体" w:cs="仿宋"/>
                <w:color w:val="000000" w:themeColor="text1"/>
                <w:sz w:val="24"/>
                <w14:textFill>
                  <w14:solidFill>
                    <w14:schemeClr w14:val="tx1"/>
                  </w14:solidFill>
                </w14:textFill>
              </w:rPr>
              <w:t>30</w:t>
            </w:r>
            <w:r>
              <w:rPr>
                <w:rFonts w:hint="eastAsia" w:ascii="宋体" w:hAnsi="宋体" w:eastAsia="宋体" w:cs="仿宋"/>
                <w:color w:val="000000" w:themeColor="text1"/>
                <w:sz w:val="24"/>
                <w14:textFill>
                  <w14:solidFill>
                    <w14:schemeClr w14:val="tx1"/>
                  </w14:solidFill>
                </w14:textFill>
              </w:rPr>
              <w:t>mm。标配提供两套主机，可分别适应10mm和25/50mm岩心，都可独立使用，独立施加轴向压力。承载筒：采用X射线可穿透的复合材料。压力腔更换：可单独更换，适应不同式样尺寸。</w:t>
            </w:r>
          </w:p>
        </w:tc>
      </w:tr>
      <w:tr w14:paraId="5EDF0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8" w:type="pct"/>
            <w:tcBorders>
              <w:top w:val="single" w:color="auto" w:sz="4" w:space="0"/>
              <w:left w:val="single" w:color="auto" w:sz="4" w:space="0"/>
              <w:bottom w:val="single" w:color="auto" w:sz="4" w:space="0"/>
              <w:right w:val="single" w:color="auto" w:sz="4" w:space="0"/>
            </w:tcBorders>
          </w:tcPr>
          <w:p w14:paraId="222D1773">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3B383DFD">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w:t>
            </w:r>
          </w:p>
        </w:tc>
        <w:tc>
          <w:tcPr>
            <w:tcW w:w="4083" w:type="pct"/>
            <w:tcBorders>
              <w:top w:val="single" w:color="auto" w:sz="4" w:space="0"/>
              <w:left w:val="single" w:color="auto" w:sz="4" w:space="0"/>
              <w:bottom w:val="single" w:color="auto" w:sz="4" w:space="0"/>
              <w:right w:val="single" w:color="auto" w:sz="4" w:space="0"/>
            </w:tcBorders>
            <w:vAlign w:val="center"/>
          </w:tcPr>
          <w:p w14:paraId="6D69A444">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无限旋转功能：搭配水、气、电、液压滑环，搭配自制回转机构可以与主机软件进行通讯，保证高压下无限旋转，实现4D拍摄，匹配4D动态多场耦合原位大尺度无损检测系统的旋转精度、速度，投标人须提交CT等同步控制技术方案，包括机械原理、信号传输方案即通讯协议说明详细设计方案、原理图、与主机的通讯方案、部分通讯代码以及主机拍摄案例的报告，并加盖供应商公章</w:t>
            </w:r>
          </w:p>
        </w:tc>
      </w:tr>
      <w:tr w14:paraId="22B6A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1B3503F7">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53A419A3">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w:t>
            </w:r>
          </w:p>
        </w:tc>
        <w:tc>
          <w:tcPr>
            <w:tcW w:w="4083" w:type="pct"/>
            <w:tcBorders>
              <w:top w:val="single" w:color="auto" w:sz="4" w:space="0"/>
              <w:left w:val="single" w:color="auto" w:sz="4" w:space="0"/>
              <w:bottom w:val="single" w:color="auto" w:sz="4" w:space="0"/>
              <w:right w:val="single" w:color="auto" w:sz="4" w:space="0"/>
            </w:tcBorders>
            <w:vAlign w:val="center"/>
          </w:tcPr>
          <w:p w14:paraId="7370418B">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载荷分辨率：≤1N，载荷精度：载荷</w:t>
            </w:r>
            <w:r>
              <w:rPr>
                <w:rFonts w:ascii="宋体" w:hAnsi="宋体" w:eastAsia="宋体" w:cs="仿宋"/>
                <w:color w:val="000000" w:themeColor="text1"/>
                <w:sz w:val="24"/>
                <w14:textFill>
                  <w14:solidFill>
                    <w14:schemeClr w14:val="tx1"/>
                  </w14:solidFill>
                </w14:textFill>
              </w:rPr>
              <w:t>示值误差≤0.5％</w:t>
            </w:r>
            <w:r>
              <w:rPr>
                <w:rFonts w:hint="eastAsia" w:ascii="宋体" w:hAnsi="宋体" w:eastAsia="宋体" w:cs="仿宋"/>
                <w:color w:val="000000" w:themeColor="text1"/>
                <w:sz w:val="24"/>
                <w14:textFill>
                  <w14:solidFill>
                    <w14:schemeClr w14:val="tx1"/>
                  </w14:solidFill>
                </w14:textFill>
              </w:rPr>
              <w:t>F.S</w:t>
            </w:r>
            <w:r>
              <w:rPr>
                <w:rFonts w:ascii="宋体" w:hAnsi="宋体" w:eastAsia="宋体" w:cs="仿宋"/>
                <w:color w:val="000000" w:themeColor="text1"/>
                <w:sz w:val="24"/>
                <w14:textFill>
                  <w14:solidFill>
                    <w14:schemeClr w14:val="tx1"/>
                  </w14:solidFill>
                </w14:textFill>
              </w:rPr>
              <w:t>.</w:t>
            </w:r>
            <w:r>
              <w:rPr>
                <w:rFonts w:hint="eastAsia" w:ascii="宋体" w:hAnsi="宋体" w:eastAsia="宋体" w:cs="仿宋"/>
                <w:color w:val="000000" w:themeColor="text1"/>
                <w:sz w:val="24"/>
                <w14:textFill>
                  <w14:solidFill>
                    <w14:schemeClr w14:val="tx1"/>
                  </w14:solidFill>
                </w14:textFill>
              </w:rPr>
              <w:t>；</w:t>
            </w:r>
            <w:r>
              <w:rPr>
                <w:rFonts w:ascii="宋体" w:hAnsi="宋体" w:eastAsia="宋体" w:cs="仿宋"/>
                <w:color w:val="000000" w:themeColor="text1"/>
                <w:sz w:val="24"/>
                <w14:textFill>
                  <w14:solidFill>
                    <w14:schemeClr w14:val="tx1"/>
                  </w14:solidFill>
                </w14:textFill>
              </w:rPr>
              <w:t xml:space="preserve"> 需要提供具备资质的</w:t>
            </w:r>
            <w:r>
              <w:rPr>
                <w:rFonts w:hint="eastAsia" w:ascii="宋体" w:hAnsi="宋体" w:eastAsia="宋体" w:cs="仿宋"/>
                <w:color w:val="000000" w:themeColor="text1"/>
                <w:sz w:val="24"/>
                <w:lang w:eastAsia="zh-CN"/>
                <w14:textFill>
                  <w14:solidFill>
                    <w14:schemeClr w14:val="tx1"/>
                  </w14:solidFill>
                </w14:textFill>
              </w:rPr>
              <w:t>第三方检测报告</w:t>
            </w:r>
            <w:r>
              <w:rPr>
                <w:rFonts w:hint="eastAsia" w:ascii="宋体" w:hAnsi="宋体" w:eastAsia="宋体" w:cs="仿宋"/>
                <w:color w:val="000000" w:themeColor="text1"/>
                <w:sz w:val="24"/>
                <w14:textFill>
                  <w14:solidFill>
                    <w14:schemeClr w14:val="tx1"/>
                  </w14:solidFill>
                </w14:textFill>
              </w:rPr>
              <w:t>。</w:t>
            </w:r>
          </w:p>
        </w:tc>
      </w:tr>
      <w:tr w14:paraId="6A172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7E44BCA1">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71CA3553">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w:t>
            </w:r>
          </w:p>
        </w:tc>
        <w:tc>
          <w:tcPr>
            <w:tcW w:w="4083" w:type="pct"/>
            <w:tcBorders>
              <w:top w:val="single" w:color="auto" w:sz="4" w:space="0"/>
              <w:left w:val="single" w:color="auto" w:sz="4" w:space="0"/>
              <w:bottom w:val="single" w:color="auto" w:sz="4" w:space="0"/>
              <w:right w:val="single" w:color="auto" w:sz="4" w:space="0"/>
            </w:tcBorders>
            <w:vAlign w:val="center"/>
          </w:tcPr>
          <w:p w14:paraId="07755EFA">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位移分辨率：≤100nm，位移精度：</w:t>
            </w:r>
            <w:r>
              <w:rPr>
                <w:rFonts w:ascii="宋体" w:hAnsi="宋体" w:eastAsia="宋体" w:cs="仿宋"/>
                <w:color w:val="000000" w:themeColor="text1"/>
                <w:sz w:val="24"/>
                <w14:textFill>
                  <w14:solidFill>
                    <w14:schemeClr w14:val="tx1"/>
                  </w14:solidFill>
                </w14:textFill>
              </w:rPr>
              <w:t>位移示值误差≤0.5％</w:t>
            </w:r>
            <w:r>
              <w:rPr>
                <w:rFonts w:hint="eastAsia" w:ascii="宋体" w:hAnsi="宋体" w:eastAsia="宋体" w:cs="仿宋"/>
                <w:color w:val="000000" w:themeColor="text1"/>
                <w:sz w:val="24"/>
                <w14:textFill>
                  <w14:solidFill>
                    <w14:schemeClr w14:val="tx1"/>
                  </w14:solidFill>
                </w14:textFill>
              </w:rPr>
              <w:t>F.S</w:t>
            </w:r>
            <w:r>
              <w:rPr>
                <w:rFonts w:ascii="宋体" w:hAnsi="宋体" w:eastAsia="宋体" w:cs="仿宋"/>
                <w:color w:val="000000" w:themeColor="text1"/>
                <w:sz w:val="24"/>
                <w14:textFill>
                  <w14:solidFill>
                    <w14:schemeClr w14:val="tx1"/>
                  </w14:solidFill>
                </w14:textFill>
              </w:rPr>
              <w:t>.</w:t>
            </w:r>
            <w:r>
              <w:rPr>
                <w:rFonts w:hint="eastAsia" w:ascii="宋体" w:hAnsi="宋体" w:eastAsia="宋体" w:cs="仿宋"/>
                <w:color w:val="000000" w:themeColor="text1"/>
                <w:sz w:val="24"/>
                <w14:textFill>
                  <w14:solidFill>
                    <w14:schemeClr w14:val="tx1"/>
                  </w14:solidFill>
                </w14:textFill>
              </w:rPr>
              <w:t>；</w:t>
            </w:r>
            <w:r>
              <w:rPr>
                <w:rFonts w:ascii="宋体" w:hAnsi="宋体" w:eastAsia="宋体" w:cs="仿宋"/>
                <w:color w:val="000000" w:themeColor="text1"/>
                <w:sz w:val="24"/>
                <w14:textFill>
                  <w14:solidFill>
                    <w14:schemeClr w14:val="tx1"/>
                  </w14:solidFill>
                </w14:textFill>
              </w:rPr>
              <w:t xml:space="preserve"> 需要提供具备资质的</w:t>
            </w:r>
            <w:r>
              <w:rPr>
                <w:rFonts w:hint="eastAsia" w:ascii="宋体" w:hAnsi="宋体" w:eastAsia="宋体" w:cs="仿宋"/>
                <w:color w:val="000000" w:themeColor="text1"/>
                <w:sz w:val="24"/>
                <w:lang w:eastAsia="zh-CN"/>
                <w14:textFill>
                  <w14:solidFill>
                    <w14:schemeClr w14:val="tx1"/>
                  </w14:solidFill>
                </w14:textFill>
              </w:rPr>
              <w:t>第三方检测报告</w:t>
            </w:r>
            <w:r>
              <w:rPr>
                <w:rFonts w:hint="eastAsia" w:ascii="宋体" w:hAnsi="宋体" w:eastAsia="宋体" w:cs="仿宋"/>
                <w:color w:val="000000" w:themeColor="text1"/>
                <w:sz w:val="24"/>
                <w14:textFill>
                  <w14:solidFill>
                    <w14:schemeClr w14:val="tx1"/>
                  </w14:solidFill>
                </w14:textFill>
              </w:rPr>
              <w:t>。</w:t>
            </w:r>
          </w:p>
        </w:tc>
      </w:tr>
      <w:tr w14:paraId="3F85F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0070F524">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2F7C7BF0">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w:t>
            </w:r>
          </w:p>
        </w:tc>
        <w:tc>
          <w:tcPr>
            <w:tcW w:w="4083" w:type="pct"/>
            <w:tcBorders>
              <w:top w:val="single" w:color="auto" w:sz="4" w:space="0"/>
              <w:left w:val="single" w:color="auto" w:sz="4" w:space="0"/>
              <w:bottom w:val="single" w:color="auto" w:sz="4" w:space="0"/>
              <w:right w:val="single" w:color="auto" w:sz="4" w:space="0"/>
            </w:tcBorders>
            <w:vAlign w:val="center"/>
          </w:tcPr>
          <w:p w14:paraId="27BF169E">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作动器最大行程：≥20mm；</w:t>
            </w:r>
            <w:r>
              <w:rPr>
                <w:rFonts w:ascii="宋体" w:hAnsi="宋体" w:eastAsia="宋体" w:cs="仿宋"/>
                <w:color w:val="000000" w:themeColor="text1"/>
                <w:sz w:val="24"/>
                <w14:textFill>
                  <w14:solidFill>
                    <w14:schemeClr w14:val="tx1"/>
                  </w14:solidFill>
                </w14:textFill>
              </w:rPr>
              <w:t>需要提供具备资质的</w:t>
            </w:r>
            <w:r>
              <w:rPr>
                <w:rFonts w:hint="eastAsia" w:ascii="宋体" w:hAnsi="宋体" w:eastAsia="宋体" w:cs="仿宋"/>
                <w:color w:val="000000" w:themeColor="text1"/>
                <w:sz w:val="24"/>
                <w:lang w:eastAsia="zh-CN"/>
                <w14:textFill>
                  <w14:solidFill>
                    <w14:schemeClr w14:val="tx1"/>
                  </w14:solidFill>
                </w14:textFill>
              </w:rPr>
              <w:t>第三方检测报告</w:t>
            </w:r>
            <w:r>
              <w:rPr>
                <w:rFonts w:hint="eastAsia" w:ascii="宋体" w:hAnsi="宋体" w:eastAsia="宋体" w:cs="仿宋"/>
                <w:color w:val="000000" w:themeColor="text1"/>
                <w:sz w:val="24"/>
                <w14:textFill>
                  <w14:solidFill>
                    <w14:schemeClr w14:val="tx1"/>
                  </w14:solidFill>
                </w14:textFill>
              </w:rPr>
              <w:t>。</w:t>
            </w:r>
          </w:p>
        </w:tc>
      </w:tr>
      <w:tr w14:paraId="325E6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17DA7886">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7F8F4D51">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w:t>
            </w:r>
          </w:p>
        </w:tc>
        <w:tc>
          <w:tcPr>
            <w:tcW w:w="4083" w:type="pct"/>
            <w:tcBorders>
              <w:top w:val="single" w:color="auto" w:sz="4" w:space="0"/>
              <w:left w:val="single" w:color="auto" w:sz="4" w:space="0"/>
              <w:bottom w:val="single" w:color="auto" w:sz="4" w:space="0"/>
              <w:right w:val="single" w:color="auto" w:sz="4" w:space="0"/>
            </w:tcBorders>
            <w:vAlign w:val="center"/>
          </w:tcPr>
          <w:p w14:paraId="65DAEE85">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试验速度范围：0.001mm/min～10mm/min</w:t>
            </w:r>
            <w:r>
              <w:rPr>
                <w:rFonts w:ascii="宋体" w:hAnsi="宋体" w:eastAsia="宋体" w:cs="仿宋"/>
                <w:color w:val="000000" w:themeColor="text1"/>
                <w:sz w:val="24"/>
                <w14:textFill>
                  <w14:solidFill>
                    <w14:schemeClr w14:val="tx1"/>
                  </w14:solidFill>
                </w14:textFill>
              </w:rPr>
              <w:t>,</w:t>
            </w:r>
            <w:r>
              <w:rPr>
                <w:rFonts w:hint="eastAsia" w:ascii="宋体" w:hAnsi="宋体" w:eastAsia="宋体" w:cs="仿宋"/>
                <w:color w:val="000000" w:themeColor="text1"/>
                <w:sz w:val="24"/>
                <w14:textFill>
                  <w14:solidFill>
                    <w14:schemeClr w14:val="tx1"/>
                  </w14:solidFill>
                </w14:textFill>
              </w:rPr>
              <w:t>速度精度：设定值±0.5%；</w:t>
            </w:r>
            <w:r>
              <w:rPr>
                <w:rFonts w:ascii="宋体" w:hAnsi="宋体" w:eastAsia="宋体" w:cs="仿宋"/>
                <w:color w:val="000000" w:themeColor="text1"/>
                <w:sz w:val="24"/>
                <w14:textFill>
                  <w14:solidFill>
                    <w14:schemeClr w14:val="tx1"/>
                  </w14:solidFill>
                </w14:textFill>
              </w:rPr>
              <w:t xml:space="preserve"> 需要提供具备资质的</w:t>
            </w:r>
            <w:r>
              <w:rPr>
                <w:rFonts w:hint="eastAsia" w:ascii="宋体" w:hAnsi="宋体" w:eastAsia="宋体" w:cs="仿宋"/>
                <w:color w:val="000000" w:themeColor="text1"/>
                <w:sz w:val="24"/>
                <w:lang w:eastAsia="zh-CN"/>
                <w14:textFill>
                  <w14:solidFill>
                    <w14:schemeClr w14:val="tx1"/>
                  </w14:solidFill>
                </w14:textFill>
              </w:rPr>
              <w:t>第三方检测报告</w:t>
            </w:r>
            <w:r>
              <w:rPr>
                <w:rFonts w:hint="eastAsia" w:ascii="宋体" w:hAnsi="宋体" w:eastAsia="宋体" w:cs="仿宋"/>
                <w:color w:val="000000" w:themeColor="text1"/>
                <w:sz w:val="24"/>
                <w14:textFill>
                  <w14:solidFill>
                    <w14:schemeClr w14:val="tx1"/>
                  </w14:solidFill>
                </w14:textFill>
              </w:rPr>
              <w:t>。</w:t>
            </w:r>
          </w:p>
        </w:tc>
      </w:tr>
      <w:tr w14:paraId="030FA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240387DB">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0E17FE7B">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w:t>
            </w:r>
          </w:p>
        </w:tc>
        <w:tc>
          <w:tcPr>
            <w:tcW w:w="4083" w:type="pct"/>
            <w:tcBorders>
              <w:top w:val="single" w:color="auto" w:sz="4" w:space="0"/>
              <w:left w:val="single" w:color="auto" w:sz="4" w:space="0"/>
              <w:bottom w:val="single" w:color="auto" w:sz="4" w:space="0"/>
              <w:right w:val="single" w:color="auto" w:sz="4" w:space="0"/>
            </w:tcBorders>
            <w:vAlign w:val="center"/>
          </w:tcPr>
          <w:p w14:paraId="0AA42AF9">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温控装置：最高温度≥150℃，最低温度</w:t>
            </w:r>
            <w:r>
              <w:rPr>
                <w:rFonts w:hint="eastAsia" w:ascii="Helvetica" w:hAnsi="Helvetica" w:cs="Helvetica"/>
                <w:color w:val="000000"/>
                <w:kern w:val="0"/>
                <w:sz w:val="24"/>
              </w:rPr>
              <w:t>≤</w:t>
            </w:r>
            <w:r>
              <w:rPr>
                <w:rFonts w:hint="eastAsia" w:ascii="宋体" w:hAnsi="宋体" w:eastAsia="宋体" w:cs="仿宋"/>
                <w:color w:val="000000" w:themeColor="text1"/>
                <w:sz w:val="24"/>
                <w14:textFill>
                  <w14:solidFill>
                    <w14:schemeClr w14:val="tx1"/>
                  </w14:solidFill>
                </w14:textFill>
              </w:rPr>
              <w:t>-30℃；</w:t>
            </w:r>
            <w:r>
              <w:rPr>
                <w:rFonts w:ascii="宋体" w:hAnsi="宋体" w:eastAsia="宋体" w:cs="仿宋"/>
                <w:color w:val="000000" w:themeColor="text1"/>
                <w:sz w:val="24"/>
                <w14:textFill>
                  <w14:solidFill>
                    <w14:schemeClr w14:val="tx1"/>
                  </w14:solidFill>
                </w14:textFill>
              </w:rPr>
              <w:t xml:space="preserve"> 需要提供具备资质的</w:t>
            </w:r>
            <w:r>
              <w:rPr>
                <w:rFonts w:hint="eastAsia" w:ascii="宋体" w:hAnsi="宋体" w:eastAsia="宋体" w:cs="仿宋"/>
                <w:color w:val="000000" w:themeColor="text1"/>
                <w:sz w:val="24"/>
                <w:lang w:eastAsia="zh-CN"/>
                <w14:textFill>
                  <w14:solidFill>
                    <w14:schemeClr w14:val="tx1"/>
                  </w14:solidFill>
                </w14:textFill>
              </w:rPr>
              <w:t>第三方检测报告</w:t>
            </w:r>
            <w:r>
              <w:rPr>
                <w:rFonts w:hint="eastAsia" w:ascii="宋体" w:hAnsi="宋体" w:eastAsia="宋体" w:cs="仿宋"/>
                <w:color w:val="000000" w:themeColor="text1"/>
                <w:sz w:val="24"/>
                <w14:textFill>
                  <w14:solidFill>
                    <w14:schemeClr w14:val="tx1"/>
                  </w14:solidFill>
                </w14:textFill>
              </w:rPr>
              <w:t>。</w:t>
            </w:r>
          </w:p>
        </w:tc>
      </w:tr>
      <w:tr w14:paraId="5C687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6220AAC7">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3AE3CB15">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w:t>
            </w:r>
          </w:p>
        </w:tc>
        <w:tc>
          <w:tcPr>
            <w:tcW w:w="4083" w:type="pct"/>
            <w:tcBorders>
              <w:top w:val="single" w:color="auto" w:sz="4" w:space="0"/>
              <w:left w:val="single" w:color="auto" w:sz="4" w:space="0"/>
              <w:bottom w:val="single" w:color="auto" w:sz="4" w:space="0"/>
              <w:right w:val="single" w:color="auto" w:sz="4" w:space="0"/>
            </w:tcBorders>
            <w:vAlign w:val="center"/>
          </w:tcPr>
          <w:p w14:paraId="16F839FE">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温控精度：温度控制精度可达±0.1℃；</w:t>
            </w:r>
            <w:r>
              <w:rPr>
                <w:rFonts w:ascii="宋体" w:hAnsi="宋体" w:eastAsia="宋体" w:cs="仿宋"/>
                <w:color w:val="000000" w:themeColor="text1"/>
                <w:sz w:val="24"/>
                <w14:textFill>
                  <w14:solidFill>
                    <w14:schemeClr w14:val="tx1"/>
                  </w14:solidFill>
                </w14:textFill>
              </w:rPr>
              <w:t xml:space="preserve"> 需要提供具备资质的</w:t>
            </w:r>
            <w:r>
              <w:rPr>
                <w:rFonts w:hint="eastAsia" w:ascii="宋体" w:hAnsi="宋体" w:eastAsia="宋体" w:cs="仿宋"/>
                <w:color w:val="000000" w:themeColor="text1"/>
                <w:sz w:val="24"/>
                <w:lang w:eastAsia="zh-CN"/>
                <w14:textFill>
                  <w14:solidFill>
                    <w14:schemeClr w14:val="tx1"/>
                  </w14:solidFill>
                </w14:textFill>
              </w:rPr>
              <w:t>第三方检测报告</w:t>
            </w:r>
            <w:r>
              <w:rPr>
                <w:rFonts w:hint="eastAsia" w:ascii="宋体" w:hAnsi="宋体" w:eastAsia="宋体" w:cs="仿宋"/>
                <w:color w:val="000000" w:themeColor="text1"/>
                <w:sz w:val="24"/>
                <w14:textFill>
                  <w14:solidFill>
                    <w14:schemeClr w14:val="tx1"/>
                  </w14:solidFill>
                </w14:textFill>
              </w:rPr>
              <w:t>。</w:t>
            </w:r>
          </w:p>
        </w:tc>
      </w:tr>
      <w:tr w14:paraId="5B239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68EDCBF2">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29A456BD">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p>
        </w:tc>
        <w:tc>
          <w:tcPr>
            <w:tcW w:w="4083" w:type="pct"/>
            <w:tcBorders>
              <w:top w:val="single" w:color="auto" w:sz="4" w:space="0"/>
              <w:left w:val="single" w:color="auto" w:sz="4" w:space="0"/>
              <w:bottom w:val="single" w:color="auto" w:sz="4" w:space="0"/>
              <w:right w:val="single" w:color="auto" w:sz="4" w:space="0"/>
            </w:tcBorders>
            <w:vAlign w:val="center"/>
          </w:tcPr>
          <w:p w14:paraId="6D4DDA94">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系统电源：施加电源滤波系统。安全保护：安装系统短路/过压保护机制，保护各个元器件使用安全；过载/过压保护：对于施加各个参数，设定上限与下限功能，保护系统的安全稳定运行。信号降噪：将高频杂波信号进行优化降噪处理，控制器：可进行力和位移的波形控制，正弦波，三角斜波，方波。</w:t>
            </w:r>
          </w:p>
        </w:tc>
      </w:tr>
      <w:tr w14:paraId="329F3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18802D8D">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47B83CAA">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p>
        </w:tc>
        <w:tc>
          <w:tcPr>
            <w:tcW w:w="4083" w:type="pct"/>
            <w:tcBorders>
              <w:top w:val="single" w:color="auto" w:sz="4" w:space="0"/>
              <w:left w:val="single" w:color="auto" w:sz="4" w:space="0"/>
              <w:bottom w:val="single" w:color="auto" w:sz="4" w:space="0"/>
              <w:right w:val="single" w:color="auto" w:sz="4" w:space="0"/>
            </w:tcBorders>
            <w:vAlign w:val="center"/>
          </w:tcPr>
          <w:p w14:paraId="38895475">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软件通讯：软件预留主机通讯接口，可根据主机厂家定制化通讯。信号接口：内置传感器接口，用于力学反馈，流量反馈等；通讯接口：采用以太网进行通讯。数据处理位数：64bit；数据传输：1000M的数据交换速度；</w:t>
            </w:r>
          </w:p>
        </w:tc>
      </w:tr>
      <w:tr w14:paraId="408B1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161EB794">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3F9DB2A8">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p>
        </w:tc>
        <w:tc>
          <w:tcPr>
            <w:tcW w:w="4083" w:type="pct"/>
            <w:tcBorders>
              <w:top w:val="single" w:color="auto" w:sz="4" w:space="0"/>
              <w:left w:val="single" w:color="auto" w:sz="4" w:space="0"/>
              <w:bottom w:val="single" w:color="auto" w:sz="4" w:space="0"/>
              <w:right w:val="single" w:color="auto" w:sz="4" w:space="0"/>
            </w:tcBorders>
            <w:vAlign w:val="center"/>
          </w:tcPr>
          <w:p w14:paraId="06EC8628">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配备多相渗流围压高分辨夹持器：</w:t>
            </w:r>
          </w:p>
          <w:p w14:paraId="3009A0DA">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岩芯夹持器主体材料为PEEK，外径≤15m</w:t>
            </w:r>
            <w:r>
              <w:rPr>
                <w:rFonts w:ascii="宋体" w:hAnsi="宋体" w:eastAsia="宋体" w:cs="仿宋"/>
                <w:color w:val="000000" w:themeColor="text1"/>
                <w:sz w:val="24"/>
                <w14:textFill>
                  <w14:solidFill>
                    <w14:schemeClr w14:val="tx1"/>
                  </w14:solidFill>
                </w14:textFill>
              </w:rPr>
              <w:t>m</w:t>
            </w:r>
            <w:r>
              <w:rPr>
                <w:rFonts w:hint="eastAsia" w:ascii="宋体" w:hAnsi="宋体" w:eastAsia="宋体" w:cs="仿宋"/>
                <w:color w:val="000000" w:themeColor="text1"/>
                <w:sz w:val="24"/>
                <w14:textFill>
                  <w14:solidFill>
                    <w14:schemeClr w14:val="tx1"/>
                  </w14:solidFill>
                </w14:textFill>
              </w:rPr>
              <w:t>，内径≥10m</w:t>
            </w:r>
            <w:r>
              <w:rPr>
                <w:rFonts w:ascii="宋体" w:hAnsi="宋体" w:eastAsia="宋体" w:cs="仿宋"/>
                <w:color w:val="000000" w:themeColor="text1"/>
                <w:sz w:val="24"/>
                <w14:textFill>
                  <w14:solidFill>
                    <w14:schemeClr w14:val="tx1"/>
                  </w14:solidFill>
                </w14:textFill>
              </w:rPr>
              <w:t>m</w:t>
            </w:r>
            <w:r>
              <w:rPr>
                <w:rFonts w:hint="eastAsia" w:ascii="宋体" w:hAnsi="宋体" w:eastAsia="宋体" w:cs="仿宋"/>
                <w:color w:val="000000" w:themeColor="text1"/>
                <w:sz w:val="24"/>
                <w14:textFill>
                  <w14:solidFill>
                    <w14:schemeClr w14:val="tx1"/>
                  </w14:solidFill>
                </w14:textFill>
              </w:rPr>
              <w:t>，30℃下最大工作压力≥200bar（20MPa），90℃≥100bar（10MPa），钛合金端盖，左右手螺纹，不少于4个1/16英寸锥形端口、1套2个单端口和2个双端口端件，配备不少于1个适配4D动态多场耦合原位大尺度无损检测系统平台的夹持器夹具，1个杆径</w:t>
            </w:r>
            <w:r>
              <w:rPr>
                <w:rFonts w:ascii="宋体" w:hAnsi="宋体" w:eastAsia="宋体" w:cs="Calibri"/>
                <w:color w:val="000000" w:themeColor="text1"/>
                <w:sz w:val="24"/>
                <w14:textFill>
                  <w14:solidFill>
                    <w14:schemeClr w14:val="tx1"/>
                  </w14:solidFill>
                </w14:textFill>
              </w:rPr>
              <w:t>Ø</w:t>
            </w:r>
            <w:r>
              <w:rPr>
                <w:rFonts w:hint="eastAsia" w:ascii="宋体" w:hAnsi="宋体" w:eastAsia="宋体" w:cs="仿宋"/>
                <w:color w:val="000000" w:themeColor="text1"/>
                <w:sz w:val="24"/>
                <w14:textFill>
                  <w14:solidFill>
                    <w14:schemeClr w14:val="tx1"/>
                  </w14:solidFill>
                </w14:textFill>
              </w:rPr>
              <w:t>9-L200毫米，1个30厘米Viton套管6mm，2个备用O型圈密封件，配备不少于1个适配工业CT扫描系统</w:t>
            </w:r>
          </w:p>
        </w:tc>
      </w:tr>
      <w:tr w14:paraId="461BC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5D24E0CE">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657AA92F">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p>
        </w:tc>
        <w:tc>
          <w:tcPr>
            <w:tcW w:w="4083" w:type="pct"/>
            <w:tcBorders>
              <w:top w:val="single" w:color="auto" w:sz="4" w:space="0"/>
              <w:left w:val="single" w:color="auto" w:sz="4" w:space="0"/>
              <w:bottom w:val="single" w:color="auto" w:sz="4" w:space="0"/>
              <w:right w:val="single" w:color="auto" w:sz="4" w:space="0"/>
            </w:tcBorders>
            <w:vAlign w:val="center"/>
          </w:tcPr>
          <w:p w14:paraId="25F891CA">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配备多相渗流围压标准岩芯夹持器：</w:t>
            </w:r>
          </w:p>
          <w:p w14:paraId="638A53C0">
            <w:pPr>
              <w:kinsoku w:val="0"/>
              <w:overflowPunct w:val="0"/>
              <w:spacing w:before="2" w:line="360" w:lineRule="auto"/>
              <w:rPr>
                <w:rFonts w:hint="eastAsia" w:ascii="宋体" w:hAnsi="宋体" w:eastAsia="宋体" w:cs="仿宋"/>
                <w:color w:val="000000" w:themeColor="text1"/>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适用于直径25mm岩芯尺寸，长度范围：0-100mm；岩芯夹持器支架主体采用铝合金，外径直径≤33mm；30℃下最大工作压力≥600 bar（60MPa），90℃≥500bar（50MPa）；配备不低于：活塞端口进/出1/8英寸，2个；端盖端口流量2个1/8英寸。内径i33/M44螺纹1个；2个端件；0.5米Viton套管；与介质接触部件材料：天然PEEK、Inconel、Hastelloy，配备不少于1个适配工业CT扫描系统</w:t>
            </w:r>
          </w:p>
        </w:tc>
      </w:tr>
      <w:tr w14:paraId="5AF5C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2EBE7652">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vAlign w:val="center"/>
          </w:tcPr>
          <w:p w14:paraId="15FED2C1">
            <w:pPr>
              <w:kinsoku w:val="0"/>
              <w:overflowPunct w:val="0"/>
              <w:spacing w:before="2" w:line="360" w:lineRule="auto"/>
              <w:jc w:val="center"/>
              <w:rPr>
                <w:rFonts w:hint="eastAsia" w:ascii="宋体" w:hAnsi="宋体" w:eastAsia="宋体" w:cs="宋体"/>
                <w:sz w:val="24"/>
              </w:rPr>
            </w:pPr>
            <w:r>
              <w:rPr>
                <w:rFonts w:ascii="宋体" w:hAnsi="宋体" w:eastAsia="宋体" w:cs="宋体"/>
                <w:sz w:val="24"/>
              </w:rPr>
              <w:t>■</w:t>
            </w:r>
          </w:p>
          <w:p w14:paraId="6E6D6D70">
            <w:pPr>
              <w:kinsoku w:val="0"/>
              <w:overflowPunct w:val="0"/>
              <w:spacing w:before="2" w:line="360" w:lineRule="auto"/>
              <w:jc w:val="center"/>
              <w:rPr>
                <w:rFonts w:hint="eastAsia" w:ascii="宋体" w:hAnsi="宋体" w:eastAsia="宋体" w:cs="仿宋"/>
                <w:color w:val="000000" w:themeColor="text1"/>
                <w:sz w:val="24"/>
                <w14:textFill>
                  <w14:solidFill>
                    <w14:schemeClr w14:val="tx1"/>
                  </w14:solidFill>
                </w14:textFill>
              </w:rPr>
            </w:pPr>
          </w:p>
        </w:tc>
        <w:tc>
          <w:tcPr>
            <w:tcW w:w="4083" w:type="pct"/>
            <w:tcBorders>
              <w:top w:val="single" w:color="auto" w:sz="4" w:space="0"/>
              <w:left w:val="single" w:color="auto" w:sz="4" w:space="0"/>
              <w:bottom w:val="single" w:color="auto" w:sz="4" w:space="0"/>
              <w:right w:val="single" w:color="auto" w:sz="4" w:space="0"/>
            </w:tcBorders>
            <w:vAlign w:val="center"/>
          </w:tcPr>
          <w:p w14:paraId="3B55F196">
            <w:pPr>
              <w:kinsoku w:val="0"/>
              <w:overflowPunct w:val="0"/>
              <w:spacing w:before="2" w:line="360" w:lineRule="auto"/>
              <w:rPr>
                <w:rFonts w:hint="eastAsia" w:ascii="宋体" w:hAnsi="宋体" w:eastAsia="宋体" w:cs="仿宋"/>
                <w:color w:val="000000" w:themeColor="text1"/>
                <w:sz w:val="24"/>
                <w:lang w:val="en-US" w:eastAsia="zh-CN"/>
                <w14:textFill>
                  <w14:solidFill>
                    <w14:schemeClr w14:val="tx1"/>
                  </w14:solidFill>
                </w14:textFill>
              </w:rPr>
            </w:pPr>
            <w:bookmarkStart w:id="3" w:name="OLE_LINK6"/>
            <w:r>
              <w:rPr>
                <w:rFonts w:hint="eastAsia" w:ascii="宋体" w:hAnsi="宋体" w:eastAsia="宋体" w:cs="仿宋"/>
                <w:color w:val="000000" w:themeColor="text1"/>
                <w:sz w:val="24"/>
                <w14:textFill>
                  <w14:solidFill>
                    <w14:schemeClr w14:val="tx1"/>
                  </w14:solidFill>
                </w14:textFill>
              </w:rPr>
              <w:t>设备可以集成在4D动态多场耦合原位大尺度无损检测系统的软件平台上，进行数据交互的通讯，以实现无人值守的主机和原位装置连续数据采集，可实现样品在温度、原位力学等条件下4D动态多场耦合原位大尺度无损检测系统同步及不间断连续采集</w:t>
            </w:r>
            <w:r>
              <w:rPr>
                <w:rFonts w:ascii="宋体" w:hAnsi="宋体" w:eastAsia="宋体" w:cs="仿宋"/>
                <w:color w:val="000000" w:themeColor="text1"/>
                <w:sz w:val="24"/>
                <w14:textFill>
                  <w14:solidFill>
                    <w14:schemeClr w14:val="tx1"/>
                  </w14:solidFill>
                </w14:textFill>
              </w:rPr>
              <w:t>软件须实时显示当前通讯指令状态，</w:t>
            </w:r>
            <w:bookmarkEnd w:id="3"/>
            <w:r>
              <w:rPr>
                <w:rFonts w:hint="eastAsia" w:ascii="宋体" w:hAnsi="宋体" w:eastAsia="宋体" w:cs="仿宋"/>
                <w:color w:val="000000" w:themeColor="text1"/>
                <w:sz w:val="24"/>
                <w:lang w:val="en-US" w:eastAsia="zh-CN"/>
                <w14:textFill>
                  <w14:solidFill>
                    <w14:schemeClr w14:val="tx1"/>
                  </w14:solidFill>
                </w14:textFill>
              </w:rPr>
              <w:t>包括：</w:t>
            </w:r>
          </w:p>
          <w:p w14:paraId="10CF7476">
            <w:pPr>
              <w:pStyle w:val="5"/>
              <w:spacing w:line="360" w:lineRule="auto"/>
              <w:rPr>
                <w:rFonts w:ascii="宋体" w:hAnsi="宋体" w:eastAsia="宋体" w:cs="仿宋_GB2312"/>
                <w:sz w:val="24"/>
                <w:szCs w:val="24"/>
              </w:rPr>
            </w:pPr>
            <w:r>
              <w:rPr>
                <w:rFonts w:ascii="宋体" w:hAnsi="宋体" w:eastAsia="宋体" w:cs="仿宋_GB2312"/>
                <w:sz w:val="24"/>
                <w:szCs w:val="24"/>
              </w:rPr>
              <w:t>1.</w:t>
            </w:r>
            <w:r>
              <w:rPr>
                <w:rFonts w:ascii="宋体" w:hAnsi="宋体" w:eastAsia="宋体" w:cs="仿宋_GB2312"/>
                <w:sz w:val="24"/>
                <w:szCs w:val="24"/>
              </w:rPr>
              <w:tab/>
            </w:r>
            <w:r>
              <w:rPr>
                <w:rFonts w:ascii="宋体" w:hAnsi="宋体" w:eastAsia="宋体" w:cs="仿宋_GB2312"/>
                <w:sz w:val="24"/>
                <w:szCs w:val="24"/>
              </w:rPr>
              <w:t>软件平台集成与同一界面操作</w:t>
            </w:r>
          </w:p>
          <w:p w14:paraId="7CDB07E1">
            <w:pPr>
              <w:pStyle w:val="5"/>
              <w:spacing w:line="360" w:lineRule="auto"/>
              <w:rPr>
                <w:rFonts w:ascii="宋体" w:hAnsi="宋体" w:eastAsia="宋体" w:cs="仿宋_GB2312"/>
                <w:sz w:val="24"/>
                <w:szCs w:val="24"/>
              </w:rPr>
            </w:pPr>
            <w:r>
              <w:rPr>
                <w:rFonts w:ascii="宋体" w:hAnsi="宋体" w:eastAsia="宋体" w:cs="仿宋_GB2312"/>
                <w:sz w:val="24"/>
                <w:szCs w:val="24"/>
              </w:rPr>
              <w:t>设备相关功能应集成在同一软件平台中，并可在同一操作界面完成操作。视频应展示力学控制、温度控制、CT 通讯、参数编辑、数据处理、系统连接、启动系统、试验开始、试验结束等功能入口或操作状态。</w:t>
            </w:r>
          </w:p>
          <w:p w14:paraId="0DD1F6E8">
            <w:pPr>
              <w:pStyle w:val="5"/>
              <w:spacing w:line="360" w:lineRule="auto"/>
              <w:rPr>
                <w:rFonts w:ascii="宋体" w:hAnsi="宋体" w:eastAsia="宋体" w:cs="仿宋_GB2312"/>
                <w:sz w:val="24"/>
                <w:szCs w:val="24"/>
              </w:rPr>
            </w:pPr>
            <w:r>
              <w:rPr>
                <w:rFonts w:ascii="宋体" w:hAnsi="宋体" w:eastAsia="宋体" w:cs="仿宋_GB2312"/>
                <w:sz w:val="24"/>
                <w:szCs w:val="24"/>
              </w:rPr>
              <w:t>2.</w:t>
            </w:r>
            <w:r>
              <w:rPr>
                <w:rFonts w:ascii="宋体" w:hAnsi="宋体" w:eastAsia="宋体" w:cs="仿宋_GB2312"/>
                <w:sz w:val="24"/>
                <w:szCs w:val="24"/>
              </w:rPr>
              <w:tab/>
            </w:r>
            <w:r>
              <w:rPr>
                <w:rFonts w:ascii="宋体" w:hAnsi="宋体" w:eastAsia="宋体" w:cs="仿宋_GB2312"/>
                <w:sz w:val="24"/>
                <w:szCs w:val="24"/>
              </w:rPr>
              <w:t>自动试验流程控制多模块</w:t>
            </w:r>
          </w:p>
          <w:p w14:paraId="057C5F31">
            <w:pPr>
              <w:pStyle w:val="5"/>
              <w:spacing w:line="360" w:lineRule="auto"/>
              <w:rPr>
                <w:rFonts w:ascii="宋体" w:hAnsi="宋体" w:eastAsia="宋体" w:cs="仿宋_GB2312"/>
                <w:sz w:val="24"/>
                <w:szCs w:val="24"/>
              </w:rPr>
            </w:pPr>
            <w:r>
              <w:rPr>
                <w:rFonts w:ascii="宋体" w:hAnsi="宋体" w:eastAsia="宋体" w:cs="仿宋_GB2312"/>
                <w:sz w:val="24"/>
                <w:szCs w:val="24"/>
              </w:rPr>
              <w:t>软件应支持通过自动试验流程连续控制各功能模块。视频应演示至少包含一个力学控制阶段和一个温度控制阶段的自动试验流程设置、参数输入、启用及顺序执行过程。</w:t>
            </w:r>
          </w:p>
          <w:p w14:paraId="5020F033">
            <w:pPr>
              <w:pStyle w:val="5"/>
              <w:spacing w:line="360" w:lineRule="auto"/>
              <w:rPr>
                <w:rFonts w:ascii="宋体" w:hAnsi="宋体" w:eastAsia="宋体" w:cs="仿宋_GB2312"/>
                <w:sz w:val="24"/>
                <w:szCs w:val="24"/>
              </w:rPr>
            </w:pPr>
            <w:r>
              <w:rPr>
                <w:rFonts w:ascii="宋体" w:hAnsi="宋体" w:eastAsia="宋体" w:cs="仿宋_GB2312"/>
                <w:sz w:val="24"/>
                <w:szCs w:val="24"/>
              </w:rPr>
              <w:t>3.</w:t>
            </w:r>
            <w:r>
              <w:rPr>
                <w:rFonts w:ascii="宋体" w:hAnsi="宋体" w:eastAsia="宋体" w:cs="仿宋_GB2312"/>
                <w:sz w:val="24"/>
                <w:szCs w:val="24"/>
              </w:rPr>
              <w:tab/>
            </w:r>
            <w:r>
              <w:rPr>
                <w:rFonts w:ascii="宋体" w:hAnsi="宋体" w:eastAsia="宋体" w:cs="仿宋_GB2312"/>
                <w:sz w:val="24"/>
                <w:szCs w:val="24"/>
              </w:rPr>
              <w:t>试验数据与曲线实时显示及缩放分析</w:t>
            </w:r>
          </w:p>
          <w:p w14:paraId="562FC78F">
            <w:pPr>
              <w:pStyle w:val="5"/>
              <w:spacing w:line="360" w:lineRule="auto"/>
              <w:rPr>
                <w:rFonts w:ascii="宋体" w:hAnsi="宋体" w:eastAsia="宋体" w:cs="仿宋_GB2312"/>
                <w:sz w:val="24"/>
                <w:szCs w:val="24"/>
              </w:rPr>
            </w:pPr>
            <w:r>
              <w:rPr>
                <w:rFonts w:ascii="宋体" w:hAnsi="宋体" w:eastAsia="宋体" w:cs="仿宋_GB2312"/>
                <w:sz w:val="24"/>
                <w:szCs w:val="24"/>
              </w:rPr>
              <w:t>试验过程中，软件应实时显示位移、负荷、应变、温度、时间等数据及相关曲线。视频应演示曲线放大、缩小等缩放操作，证明其可用于长时试验过程中的实时曲线观察与分析。</w:t>
            </w:r>
          </w:p>
          <w:p w14:paraId="0A74E81F">
            <w:pPr>
              <w:pStyle w:val="5"/>
              <w:spacing w:line="360" w:lineRule="auto"/>
              <w:rPr>
                <w:rFonts w:ascii="宋体" w:hAnsi="宋体" w:eastAsia="宋体" w:cs="仿宋_GB2312"/>
                <w:sz w:val="24"/>
                <w:szCs w:val="24"/>
              </w:rPr>
            </w:pPr>
            <w:r>
              <w:rPr>
                <w:rFonts w:ascii="宋体" w:hAnsi="宋体" w:eastAsia="宋体" w:cs="仿宋_GB2312"/>
                <w:sz w:val="24"/>
                <w:szCs w:val="24"/>
              </w:rPr>
              <w:t>4.</w:t>
            </w:r>
            <w:r>
              <w:rPr>
                <w:rFonts w:ascii="宋体" w:hAnsi="宋体" w:eastAsia="宋体" w:cs="仿宋_GB2312"/>
                <w:sz w:val="24"/>
                <w:szCs w:val="24"/>
              </w:rPr>
              <w:tab/>
            </w:r>
            <w:r>
              <w:rPr>
                <w:rFonts w:ascii="宋体" w:hAnsi="宋体" w:eastAsia="宋体" w:cs="仿宋_GB2312"/>
                <w:sz w:val="24"/>
                <w:szCs w:val="24"/>
              </w:rPr>
              <w:t>与 CT 主机通讯及同步连续采集</w:t>
            </w:r>
          </w:p>
          <w:p w14:paraId="01999744">
            <w:pPr>
              <w:pStyle w:val="5"/>
              <w:spacing w:line="360" w:lineRule="auto"/>
              <w:rPr>
                <w:rFonts w:ascii="宋体" w:hAnsi="宋体" w:eastAsia="宋体" w:cs="仿宋_GB2312"/>
                <w:sz w:val="24"/>
                <w:szCs w:val="24"/>
              </w:rPr>
            </w:pPr>
            <w:r>
              <w:rPr>
                <w:rFonts w:ascii="宋体" w:hAnsi="宋体" w:eastAsia="宋体" w:cs="仿宋_GB2312"/>
                <w:sz w:val="24"/>
                <w:szCs w:val="24"/>
              </w:rPr>
              <w:t>软件应能够与 CT 主机进行数据交互通讯，实时显示连接状态、通讯指令及当前指令状态。视频应演示 CT 通讯连接、指令接收或发送、状态显示，并说明其与原位力学、温度等控制过程联动，实现无人值守条件下 CT 主机与原位装置同步、不间断连续数据采集。</w:t>
            </w:r>
          </w:p>
          <w:p w14:paraId="3EEBE321">
            <w:pPr>
              <w:pStyle w:val="5"/>
              <w:spacing w:line="360" w:lineRule="auto"/>
              <w:rPr>
                <w:rFonts w:ascii="宋体" w:hAnsi="宋体" w:eastAsia="宋体" w:cs="仿宋_GB2312"/>
                <w:sz w:val="24"/>
                <w:szCs w:val="24"/>
              </w:rPr>
            </w:pPr>
            <w:r>
              <w:rPr>
                <w:rFonts w:ascii="宋体" w:hAnsi="宋体" w:eastAsia="宋体" w:cs="仿宋_GB2312"/>
                <w:sz w:val="24"/>
                <w:szCs w:val="24"/>
              </w:rPr>
              <w:t>5.试验结束后曲线的回读与标记</w:t>
            </w:r>
          </w:p>
          <w:p w14:paraId="448582B7">
            <w:pPr>
              <w:kinsoku w:val="0"/>
              <w:overflowPunct w:val="0"/>
              <w:spacing w:before="2" w:line="360" w:lineRule="auto"/>
              <w:rPr>
                <w:rFonts w:hint="eastAsia" w:ascii="宋体" w:hAnsi="宋体" w:eastAsia="宋体" w:cs="仿宋"/>
                <w:color w:val="000000" w:themeColor="text1"/>
                <w:sz w:val="24"/>
                <w:lang w:val="en-US" w:eastAsia="zh-CN"/>
                <w14:textFill>
                  <w14:solidFill>
                    <w14:schemeClr w14:val="tx1"/>
                  </w14:solidFill>
                </w14:textFill>
              </w:rPr>
            </w:pPr>
            <w:r>
              <w:rPr>
                <w:rFonts w:ascii="宋体" w:hAnsi="宋体" w:eastAsia="宋体" w:cs="仿宋_GB2312"/>
                <w:sz w:val="24"/>
                <w:szCs w:val="24"/>
              </w:rPr>
              <w:t>软件须支持已完成试验数据的回读与查看功能，可在指定位置增加标记点和注释，标记后的曲线须支持存储为图片格式（如PNG、JPG等），以便后续调用和报告使用</w:t>
            </w:r>
            <w:r>
              <w:rPr>
                <w:rFonts w:hint="eastAsia" w:ascii="宋体" w:hAnsi="宋体" w:eastAsia="宋体" w:cs="仿宋_GB2312"/>
                <w:sz w:val="24"/>
                <w:szCs w:val="24"/>
                <w:lang w:eastAsia="zh-CN"/>
              </w:rPr>
              <w:t>。</w:t>
            </w:r>
          </w:p>
        </w:tc>
      </w:tr>
      <w:tr w14:paraId="3ECBD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1E908BE0">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shd w:val="clear" w:color="auto" w:fill="auto"/>
            <w:vAlign w:val="center"/>
          </w:tcPr>
          <w:p w14:paraId="1D6CDD0F">
            <w:pPr>
              <w:kinsoku w:val="0"/>
              <w:overflowPunct w:val="0"/>
              <w:spacing w:before="2" w:line="360" w:lineRule="auto"/>
              <w:jc w:val="center"/>
              <w:rPr>
                <w:rFonts w:hint="eastAsia" w:ascii="宋体" w:hAnsi="宋体" w:eastAsia="宋体" w:cs="仿宋"/>
                <w:color w:val="000000" w:themeColor="text1"/>
                <w:kern w:val="2"/>
                <w:sz w:val="24"/>
                <w:szCs w:val="24"/>
                <w:lang w:val="en-US" w:eastAsia="zh-CN" w:bidi="ar-SA"/>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w:t>
            </w:r>
          </w:p>
        </w:tc>
        <w:tc>
          <w:tcPr>
            <w:tcW w:w="4083" w:type="pct"/>
            <w:tcBorders>
              <w:top w:val="single" w:color="auto" w:sz="4" w:space="0"/>
              <w:left w:val="single" w:color="auto" w:sz="4" w:space="0"/>
              <w:bottom w:val="single" w:color="auto" w:sz="4" w:space="0"/>
              <w:right w:val="single" w:color="auto" w:sz="4" w:space="0"/>
            </w:tcBorders>
            <w:shd w:val="clear" w:color="auto" w:fill="auto"/>
            <w:vAlign w:val="center"/>
          </w:tcPr>
          <w:p w14:paraId="39B305C2">
            <w:pPr>
              <w:kinsoku w:val="0"/>
              <w:overflowPunct w:val="0"/>
              <w:spacing w:before="2" w:line="360" w:lineRule="auto"/>
              <w:rPr>
                <w:rFonts w:hint="eastAsia" w:ascii="宋体" w:hAnsi="宋体" w:eastAsia="宋体" w:cs="仿宋"/>
                <w:color w:val="000000" w:themeColor="text1"/>
                <w:kern w:val="2"/>
                <w:sz w:val="24"/>
                <w:szCs w:val="24"/>
                <w:lang w:val="en-US" w:eastAsia="zh-CN" w:bidi="ar-SA"/>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配备正版分析软件一套，包括深度学习人工智能模块。软件能够将复杂的微观结构快速转化为定性与定量结果，配备球棒模型，还能模拟渗流、驱替两相流、导热、导电等，并能计算整体结构的迂曲率、绝对渗透率、相对渗透率、有效导电率热导率等。（投标时须</w:t>
            </w:r>
            <w:r>
              <w:rPr>
                <w:rFonts w:hint="eastAsia" w:ascii="宋体" w:hAnsi="宋体" w:eastAsia="宋体" w:cs="仿宋"/>
                <w:color w:val="000000" w:themeColor="text1"/>
                <w:sz w:val="24"/>
                <w:lang w:val="en-US" w:eastAsia="zh-CN"/>
                <w14:textFill>
                  <w14:solidFill>
                    <w14:schemeClr w14:val="tx1"/>
                  </w14:solidFill>
                </w14:textFill>
              </w:rPr>
              <w:t>提供</w:t>
            </w:r>
            <w:r>
              <w:rPr>
                <w:rFonts w:hint="eastAsia" w:ascii="宋体" w:hAnsi="宋体" w:eastAsia="宋体" w:cs="仿宋"/>
                <w:color w:val="000000" w:themeColor="text1"/>
                <w:sz w:val="24"/>
                <w14:textFill>
                  <w14:solidFill>
                    <w14:schemeClr w14:val="tx1"/>
                  </w14:solidFill>
                </w14:textFill>
              </w:rPr>
              <w:t>承诺书</w:t>
            </w:r>
            <w:r>
              <w:rPr>
                <w:rFonts w:hint="eastAsia" w:ascii="宋体" w:hAnsi="宋体" w:eastAsia="宋体" w:cs="仿宋"/>
                <w:color w:val="000000" w:themeColor="text1"/>
                <w:sz w:val="24"/>
                <w:lang w:val="en-US" w:eastAsia="zh-CN"/>
                <w14:textFill>
                  <w14:solidFill>
                    <w14:schemeClr w14:val="tx1"/>
                  </w14:solidFill>
                </w14:textFill>
              </w:rPr>
              <w:t>或厂家授权书</w:t>
            </w:r>
            <w:r>
              <w:rPr>
                <w:rFonts w:hint="eastAsia" w:ascii="宋体" w:hAnsi="宋体" w:eastAsia="宋体" w:cs="仿宋"/>
                <w:color w:val="000000" w:themeColor="text1"/>
                <w:sz w:val="24"/>
                <w14:textFill>
                  <w14:solidFill>
                    <w14:schemeClr w14:val="tx1"/>
                  </w14:solidFill>
                </w14:textFill>
              </w:rPr>
              <w:t>）</w:t>
            </w:r>
          </w:p>
        </w:tc>
      </w:tr>
      <w:tr w14:paraId="65E83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8" w:type="pct"/>
            <w:tcBorders>
              <w:top w:val="single" w:color="auto" w:sz="4" w:space="0"/>
              <w:left w:val="single" w:color="auto" w:sz="4" w:space="0"/>
              <w:bottom w:val="single" w:color="auto" w:sz="4" w:space="0"/>
              <w:right w:val="single" w:color="auto" w:sz="4" w:space="0"/>
            </w:tcBorders>
          </w:tcPr>
          <w:p w14:paraId="02854784">
            <w:pPr>
              <w:pStyle w:val="4"/>
              <w:numPr>
                <w:ilvl w:val="0"/>
                <w:numId w:val="1"/>
              </w:numPr>
              <w:kinsoku w:val="0"/>
              <w:overflowPunct w:val="0"/>
              <w:spacing w:before="2" w:line="360" w:lineRule="auto"/>
              <w:ind w:firstLineChars="0"/>
              <w:rPr>
                <w:rFonts w:hint="eastAsia" w:ascii="宋体" w:hAnsi="宋体" w:cs="仿宋"/>
                <w:color w:val="000000" w:themeColor="text1"/>
                <w:sz w:val="24"/>
                <w14:textFill>
                  <w14:solidFill>
                    <w14:schemeClr w14:val="tx1"/>
                  </w14:solidFill>
                </w14:textFill>
              </w:rPr>
            </w:pPr>
          </w:p>
        </w:tc>
        <w:tc>
          <w:tcPr>
            <w:tcW w:w="287" w:type="pct"/>
            <w:tcBorders>
              <w:top w:val="single" w:color="auto" w:sz="4" w:space="0"/>
              <w:left w:val="single" w:color="auto" w:sz="4" w:space="0"/>
              <w:bottom w:val="single" w:color="auto" w:sz="4" w:space="0"/>
              <w:right w:val="single" w:color="auto" w:sz="4" w:space="0"/>
            </w:tcBorders>
            <w:shd w:val="clear" w:color="auto" w:fill="auto"/>
            <w:vAlign w:val="center"/>
          </w:tcPr>
          <w:p w14:paraId="4615D668">
            <w:pPr>
              <w:kinsoku w:val="0"/>
              <w:overflowPunct w:val="0"/>
              <w:spacing w:before="2" w:line="360" w:lineRule="auto"/>
              <w:jc w:val="center"/>
              <w:rPr>
                <w:rFonts w:hint="eastAsia" w:ascii="宋体" w:hAnsi="宋体" w:eastAsia="宋体" w:cs="仿宋"/>
                <w:color w:val="000000" w:themeColor="text1"/>
                <w:kern w:val="2"/>
                <w:sz w:val="24"/>
                <w:szCs w:val="24"/>
                <w:lang w:val="en-US" w:eastAsia="zh-CN" w:bidi="ar-SA"/>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w:t>
            </w:r>
          </w:p>
        </w:tc>
        <w:tc>
          <w:tcPr>
            <w:tcW w:w="4083" w:type="pct"/>
            <w:tcBorders>
              <w:top w:val="single" w:color="auto" w:sz="4" w:space="0"/>
              <w:left w:val="single" w:color="auto" w:sz="4" w:space="0"/>
              <w:bottom w:val="single" w:color="auto" w:sz="4" w:space="0"/>
              <w:right w:val="single" w:color="auto" w:sz="4" w:space="0"/>
            </w:tcBorders>
            <w:shd w:val="clear" w:color="auto" w:fill="auto"/>
            <w:vAlign w:val="center"/>
          </w:tcPr>
          <w:p w14:paraId="0DFB221A">
            <w:pPr>
              <w:kinsoku w:val="0"/>
              <w:overflowPunct w:val="0"/>
              <w:spacing w:before="2" w:line="360" w:lineRule="auto"/>
              <w:rPr>
                <w:rFonts w:hint="eastAsia" w:ascii="宋体" w:hAnsi="宋体" w:eastAsia="宋体" w:cs="仿宋"/>
                <w:color w:val="000000" w:themeColor="text1"/>
                <w:kern w:val="2"/>
                <w:sz w:val="24"/>
                <w:szCs w:val="24"/>
                <w:lang w:val="en-US" w:eastAsia="zh-CN" w:bidi="ar-SA"/>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CT系统通讯交互：实验系统应具备与实验室采购的设备TESCAN UniTOM XL 微米CT系统进行软件通讯及原位联动的能力，须取得 TESCAN官方软件API通讯授权，实现实验系统与UniTOM XL扫描系统的数据及控制信号交互，并负责完成现场接口开发、通讯调试及联动验收。</w:t>
            </w:r>
            <w:r>
              <w:rPr>
                <w:rFonts w:hint="eastAsia" w:ascii="宋体" w:hAnsi="宋体" w:eastAsia="宋体" w:cs="仿宋"/>
                <w:color w:val="000000" w:themeColor="text1"/>
                <w:sz w:val="24"/>
                <w:lang w:eastAsia="zh-CN"/>
                <w14:textFill>
                  <w14:solidFill>
                    <w14:schemeClr w14:val="tx1"/>
                  </w14:solidFill>
                </w14:textFill>
              </w:rPr>
              <w:t>（</w:t>
            </w:r>
            <w:r>
              <w:rPr>
                <w:rFonts w:hint="eastAsia" w:ascii="宋体" w:hAnsi="宋体" w:eastAsia="宋体" w:cs="仿宋"/>
                <w:color w:val="000000" w:themeColor="text1"/>
                <w:sz w:val="24"/>
                <w14:textFill>
                  <w14:solidFill>
                    <w14:schemeClr w14:val="tx1"/>
                  </w14:solidFill>
                </w14:textFill>
              </w:rPr>
              <w:t>投标时须提供 TESCAN授权证明文件</w:t>
            </w:r>
            <w:r>
              <w:rPr>
                <w:rFonts w:hint="eastAsia" w:ascii="宋体" w:hAnsi="宋体" w:eastAsia="宋体" w:cs="仿宋"/>
                <w:color w:val="000000" w:themeColor="text1"/>
                <w:sz w:val="24"/>
                <w:lang w:eastAsia="zh-CN"/>
                <w14:textFill>
                  <w14:solidFill>
                    <w14:schemeClr w14:val="tx1"/>
                  </w14:solidFill>
                </w14:textFill>
              </w:rPr>
              <w:t>）</w:t>
            </w:r>
          </w:p>
        </w:tc>
      </w:tr>
      <w:bookmarkEnd w:id="0"/>
    </w:tbl>
    <w:p w14:paraId="677ECB4E">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DE393A"/>
    <w:multiLevelType w:val="multilevel"/>
    <w:tmpl w:val="56DE393A"/>
    <w:lvl w:ilvl="0" w:tentative="0">
      <w:start w:val="1"/>
      <w:numFmt w:val="decimal"/>
      <w:lvlText w:val="%1."/>
      <w:lvlJc w:val="left"/>
      <w:pPr>
        <w:ind w:left="880" w:hanging="440"/>
      </w:p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3D78CC"/>
    <w:rsid w:val="113D78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styleId="4">
    <w:name w:val="List Paragraph"/>
    <w:basedOn w:val="1"/>
    <w:qFormat/>
    <w:uiPriority w:val="99"/>
    <w:pPr>
      <w:ind w:firstLine="420" w:firstLineChars="200"/>
    </w:pPr>
    <w:rPr>
      <w:rFonts w:ascii="Calibri" w:hAnsi="Calibri" w:eastAsia="宋体" w:cs="Times New Roman"/>
    </w:rPr>
  </w:style>
  <w:style w:type="paragraph" w:customStyle="1" w:styleId="5">
    <w:name w:val="null3"/>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Office_12.8.2.17149_F1E327BC-269C-435d-A152-05C5408002CA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2026-09-18T07:00:00Z</dcterms:created>
  <dc:creator>86759</dc:creator>
  <cp:lastModifiedBy>86759</cp:lastModifiedBy>
  <dcterms:modified xsi:type="dcterms:W3CDTF">2026-09-18T07:00:28Z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2052-12.8.2.17149</vt:lpwstr>
  </property>
  <property fmtid="{D5CDD505-2E9C-101B-9397-08002B2CF9AE}" pid="3" name="ICV">
    <vt:lpwstr>B4AC3DE884E04FB19EF44AC5C72C6A87_11</vt:lpwstr>
  </property>
</Properties>
</file>