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B9254">
      <w:pPr>
        <w:spacing w:line="360" w:lineRule="auto"/>
        <w:ind w:left="1080" w:leftChars="257" w:hanging="540"/>
        <w:jc w:val="center"/>
        <w:outlineLvl w:val="0"/>
        <w:rPr>
          <w:rFonts w:eastAsia="仿宋_GB2312"/>
          <w:color w:val="auto"/>
          <w:sz w:val="32"/>
          <w:szCs w:val="32"/>
        </w:rPr>
      </w:pPr>
      <w:bookmarkStart w:id="0" w:name="_Toc4796"/>
      <w:bookmarkStart w:id="1" w:name="_Toc532044541"/>
      <w:bookmarkStart w:id="2" w:name="_Toc515647833"/>
      <w:bookmarkStart w:id="3" w:name="_Toc6865"/>
      <w:bookmarkStart w:id="4" w:name="_Toc532473757"/>
      <w:bookmarkStart w:id="5" w:name="_Toc3711"/>
      <w:r>
        <w:rPr>
          <w:rStyle w:val="6"/>
          <w:rFonts w:ascii="Times New Roman" w:eastAsia="仿宋_GB2312"/>
          <w:color w:val="auto"/>
          <w:sz w:val="32"/>
          <w:szCs w:val="32"/>
        </w:rPr>
        <w:t>拟签订的合同</w:t>
      </w:r>
      <w:bookmarkEnd w:id="0"/>
      <w:bookmarkEnd w:id="1"/>
      <w:bookmarkEnd w:id="2"/>
      <w:bookmarkEnd w:id="3"/>
      <w:bookmarkEnd w:id="4"/>
      <w:bookmarkStart w:id="6" w:name="_Hlt487972895"/>
      <w:bookmarkEnd w:id="6"/>
      <w:bookmarkStart w:id="7" w:name="_Toc487900382"/>
      <w:bookmarkStart w:id="8" w:name="_Toc216513788"/>
      <w:r>
        <w:rPr>
          <w:rStyle w:val="6"/>
          <w:rFonts w:ascii="Times New Roman" w:eastAsia="仿宋_GB2312"/>
          <w:color w:val="auto"/>
          <w:sz w:val="32"/>
          <w:szCs w:val="32"/>
        </w:rPr>
        <w:t>文本</w:t>
      </w:r>
      <w:bookmarkEnd w:id="5"/>
    </w:p>
    <w:bookmarkEnd w:id="7"/>
    <w:bookmarkEnd w:id="8"/>
    <w:p w14:paraId="02D027EE">
      <w:pPr>
        <w:spacing w:line="520" w:lineRule="exact"/>
        <w:jc w:val="left"/>
        <w:rPr>
          <w:rFonts w:hint="eastAsia" w:ascii="仿宋" w:hAnsi="仿宋" w:eastAsia="仿宋"/>
          <w:color w:val="auto"/>
          <w:sz w:val="32"/>
          <w:szCs w:val="32"/>
          <w:u w:val="single"/>
        </w:rPr>
      </w:pPr>
      <w:bookmarkStart w:id="9" w:name="_Toc29551"/>
      <w:r>
        <w:rPr>
          <w:rFonts w:hint="eastAsia" w:ascii="仿宋" w:hAnsi="仿宋" w:eastAsia="仿宋"/>
          <w:color w:val="auto"/>
          <w:sz w:val="32"/>
          <w:szCs w:val="32"/>
          <w:u w:val="single"/>
        </w:rPr>
        <w:t>需方（甲方）：西安市碑林区疾病预防控制中心</w:t>
      </w:r>
    </w:p>
    <w:p w14:paraId="73F9A28A">
      <w:pPr>
        <w:spacing w:line="520" w:lineRule="exact"/>
        <w:jc w:val="left"/>
        <w:rPr>
          <w:rFonts w:hint="eastAsia" w:ascii="仿宋" w:hAnsi="仿宋" w:eastAsia="仿宋"/>
          <w:color w:val="auto"/>
          <w:sz w:val="32"/>
          <w:szCs w:val="32"/>
          <w:u w:val="single"/>
        </w:rPr>
      </w:pPr>
      <w:r>
        <w:rPr>
          <w:rFonts w:hint="eastAsia" w:ascii="仿宋" w:hAnsi="仿宋" w:eastAsia="仿宋"/>
          <w:color w:val="auto"/>
          <w:sz w:val="32"/>
          <w:szCs w:val="32"/>
          <w:u w:val="single"/>
        </w:rPr>
        <w:t xml:space="preserve">供方（乙方）：                          </w:t>
      </w:r>
    </w:p>
    <w:p w14:paraId="08FCC639">
      <w:pPr>
        <w:spacing w:line="520" w:lineRule="exact"/>
        <w:jc w:val="left"/>
        <w:rPr>
          <w:rFonts w:hint="eastAsia" w:ascii="仿宋" w:hAnsi="仿宋" w:eastAsia="仿宋"/>
          <w:color w:val="auto"/>
          <w:sz w:val="32"/>
          <w:szCs w:val="32"/>
          <w:u w:val="single"/>
        </w:rPr>
      </w:pPr>
      <w:r>
        <w:rPr>
          <w:rFonts w:hint="eastAsia" w:ascii="仿宋" w:hAnsi="仿宋" w:eastAsia="仿宋"/>
          <w:color w:val="auto"/>
          <w:sz w:val="32"/>
          <w:szCs w:val="32"/>
          <w:u w:val="single"/>
        </w:rPr>
        <w:t>合同签订地点：西安市碑林区疾病预防控制中心</w:t>
      </w:r>
    </w:p>
    <w:p w14:paraId="52ADDFD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根据《中华人民共和国民法典》及其他有关法律、法规，就乙方向甲方供货事宜，双方本着平等自愿、友好协商的原则，在遵守招标文件、投标文件所有条款规定基础上，经双方协商一致同意签订本合同。</w:t>
      </w:r>
    </w:p>
    <w:p w14:paraId="54424645">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一、供货清单</w:t>
      </w:r>
    </w:p>
    <w:tbl>
      <w:tblPr>
        <w:tblStyle w:val="4"/>
        <w:tblW w:w="60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2253"/>
        <w:gridCol w:w="983"/>
        <w:gridCol w:w="563"/>
        <w:gridCol w:w="762"/>
        <w:gridCol w:w="1430"/>
        <w:gridCol w:w="1364"/>
        <w:gridCol w:w="1458"/>
        <w:gridCol w:w="1491"/>
      </w:tblGrid>
      <w:tr w14:paraId="3ADC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 w:type="pct"/>
            <w:noWrap w:val="0"/>
            <w:vAlign w:val="center"/>
          </w:tcPr>
          <w:p w14:paraId="3755D4EF">
            <w:pPr>
              <w:tabs>
                <w:tab w:val="left" w:pos="1050"/>
              </w:tabs>
              <w:snapToGrid w:val="0"/>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序号</w:t>
            </w:r>
          </w:p>
        </w:tc>
        <w:tc>
          <w:tcPr>
            <w:tcW w:w="1029" w:type="pct"/>
            <w:noWrap w:val="0"/>
            <w:vAlign w:val="center"/>
          </w:tcPr>
          <w:p w14:paraId="474FA5B3">
            <w:pPr>
              <w:tabs>
                <w:tab w:val="left" w:pos="1050"/>
              </w:tabs>
              <w:snapToGrid w:val="0"/>
              <w:jc w:val="center"/>
              <w:rPr>
                <w:rFonts w:hint="eastAsia" w:ascii="宋体" w:hAnsi="宋体" w:eastAsia="宋体" w:cs="宋体"/>
                <w:color w:val="auto"/>
                <w:sz w:val="28"/>
                <w:szCs w:val="28"/>
                <w:lang w:eastAsia="zh-CN"/>
              </w:rPr>
            </w:pPr>
            <w:r>
              <w:rPr>
                <w:rFonts w:hint="eastAsia" w:ascii="宋体" w:hAnsi="宋体" w:cs="宋体"/>
                <w:color w:val="auto"/>
                <w:sz w:val="28"/>
                <w:szCs w:val="28"/>
                <w:lang w:val="en-US" w:eastAsia="zh-CN"/>
              </w:rPr>
              <w:t>产品</w:t>
            </w:r>
            <w:r>
              <w:rPr>
                <w:rFonts w:hint="eastAsia" w:ascii="宋体" w:hAnsi="宋体" w:eastAsia="宋体" w:cs="宋体"/>
                <w:color w:val="auto"/>
                <w:sz w:val="28"/>
                <w:szCs w:val="28"/>
              </w:rPr>
              <w:t>名称</w:t>
            </w:r>
          </w:p>
        </w:tc>
        <w:tc>
          <w:tcPr>
            <w:tcW w:w="449" w:type="pct"/>
            <w:noWrap w:val="0"/>
            <w:vAlign w:val="center"/>
          </w:tcPr>
          <w:p w14:paraId="2C7459A6">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规格型号</w:t>
            </w:r>
          </w:p>
        </w:tc>
        <w:tc>
          <w:tcPr>
            <w:tcW w:w="257" w:type="pct"/>
            <w:noWrap w:val="0"/>
            <w:vAlign w:val="center"/>
          </w:tcPr>
          <w:p w14:paraId="06A8DA25">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数量</w:t>
            </w:r>
          </w:p>
        </w:tc>
        <w:tc>
          <w:tcPr>
            <w:tcW w:w="348" w:type="pct"/>
            <w:noWrap w:val="0"/>
            <w:vAlign w:val="center"/>
          </w:tcPr>
          <w:p w14:paraId="56CA5B88">
            <w:pPr>
              <w:tabs>
                <w:tab w:val="left" w:pos="1050"/>
              </w:tabs>
              <w:snapToGrid w:val="0"/>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单位</w:t>
            </w:r>
          </w:p>
        </w:tc>
        <w:tc>
          <w:tcPr>
            <w:tcW w:w="653" w:type="pct"/>
            <w:noWrap w:val="0"/>
            <w:vAlign w:val="center"/>
          </w:tcPr>
          <w:p w14:paraId="6744DC11">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单价</w:t>
            </w:r>
          </w:p>
          <w:p w14:paraId="0170F62E">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（万元）</w:t>
            </w:r>
          </w:p>
        </w:tc>
        <w:tc>
          <w:tcPr>
            <w:tcW w:w="623" w:type="pct"/>
            <w:noWrap w:val="0"/>
            <w:vAlign w:val="center"/>
          </w:tcPr>
          <w:p w14:paraId="545C3B50">
            <w:pPr>
              <w:tabs>
                <w:tab w:val="left" w:pos="1050"/>
              </w:tabs>
              <w:snapToGrid w:val="0"/>
              <w:jc w:val="center"/>
              <w:rPr>
                <w:rFonts w:hint="eastAsia" w:ascii="宋体" w:hAnsi="宋体" w:eastAsia="宋体" w:cs="宋体"/>
                <w:color w:val="auto"/>
                <w:sz w:val="28"/>
                <w:szCs w:val="28"/>
              </w:rPr>
            </w:pPr>
            <w:r>
              <w:rPr>
                <w:rFonts w:hint="eastAsia" w:ascii="宋体" w:hAnsi="宋体" w:eastAsia="宋体" w:cs="宋体"/>
                <w:color w:val="auto"/>
                <w:sz w:val="28"/>
                <w:szCs w:val="28"/>
              </w:rPr>
              <w:t>总价</w:t>
            </w:r>
          </w:p>
          <w:p w14:paraId="568E8BEB">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（万元）</w:t>
            </w:r>
          </w:p>
        </w:tc>
        <w:tc>
          <w:tcPr>
            <w:tcW w:w="666" w:type="pct"/>
            <w:noWrap w:val="0"/>
            <w:vAlign w:val="center"/>
          </w:tcPr>
          <w:p w14:paraId="5DB9BF96">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生产厂家</w:t>
            </w:r>
          </w:p>
        </w:tc>
        <w:tc>
          <w:tcPr>
            <w:tcW w:w="677" w:type="pct"/>
            <w:noWrap w:val="0"/>
            <w:vAlign w:val="center"/>
          </w:tcPr>
          <w:p w14:paraId="39CB042E">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备注</w:t>
            </w:r>
          </w:p>
        </w:tc>
      </w:tr>
      <w:tr w14:paraId="3CCE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94" w:type="pct"/>
            <w:noWrap w:val="0"/>
            <w:vAlign w:val="center"/>
          </w:tcPr>
          <w:p w14:paraId="119AB432">
            <w:pPr>
              <w:tabs>
                <w:tab w:val="left" w:pos="1050"/>
              </w:tabs>
              <w:snapToGrid w:val="0"/>
              <w:jc w:val="center"/>
              <w:rPr>
                <w:rFonts w:hint="default"/>
                <w:color w:val="auto"/>
                <w:lang w:val="en-US" w:eastAsia="zh-CN"/>
              </w:rPr>
            </w:pPr>
          </w:p>
        </w:tc>
        <w:tc>
          <w:tcPr>
            <w:tcW w:w="1029" w:type="pct"/>
            <w:noWrap w:val="0"/>
            <w:vAlign w:val="center"/>
          </w:tcPr>
          <w:p w14:paraId="67B97574">
            <w:pPr>
              <w:tabs>
                <w:tab w:val="left" w:pos="1050"/>
              </w:tabs>
              <w:snapToGrid w:val="0"/>
              <w:jc w:val="center"/>
              <w:rPr>
                <w:rFonts w:hint="eastAsia" w:ascii="宋体" w:hAnsi="宋体" w:eastAsia="宋体" w:cs="宋体"/>
                <w:color w:val="auto"/>
                <w:sz w:val="28"/>
                <w:szCs w:val="28"/>
                <w:lang w:val="en-US" w:eastAsia="zh-CN"/>
              </w:rPr>
            </w:pPr>
          </w:p>
        </w:tc>
        <w:tc>
          <w:tcPr>
            <w:tcW w:w="449" w:type="pct"/>
            <w:noWrap w:val="0"/>
            <w:vAlign w:val="center"/>
          </w:tcPr>
          <w:p w14:paraId="447D0093">
            <w:pPr>
              <w:tabs>
                <w:tab w:val="left" w:pos="1050"/>
              </w:tabs>
              <w:snapToGrid w:val="0"/>
              <w:jc w:val="center"/>
              <w:rPr>
                <w:rFonts w:ascii="宋体" w:hAnsi="宋体" w:eastAsia="宋体" w:cs="宋体"/>
                <w:color w:val="auto"/>
                <w:sz w:val="28"/>
                <w:szCs w:val="28"/>
              </w:rPr>
            </w:pPr>
          </w:p>
        </w:tc>
        <w:tc>
          <w:tcPr>
            <w:tcW w:w="257" w:type="pct"/>
            <w:noWrap w:val="0"/>
            <w:vAlign w:val="center"/>
          </w:tcPr>
          <w:p w14:paraId="022B531E">
            <w:pPr>
              <w:tabs>
                <w:tab w:val="left" w:pos="1050"/>
              </w:tabs>
              <w:snapToGrid w:val="0"/>
              <w:jc w:val="center"/>
              <w:rPr>
                <w:rFonts w:hint="default" w:ascii="宋体" w:hAnsi="宋体" w:eastAsia="宋体" w:cs="宋体"/>
                <w:color w:val="auto"/>
                <w:sz w:val="28"/>
                <w:szCs w:val="28"/>
                <w:lang w:val="en-US" w:eastAsia="zh-CN"/>
              </w:rPr>
            </w:pPr>
          </w:p>
        </w:tc>
        <w:tc>
          <w:tcPr>
            <w:tcW w:w="348" w:type="pct"/>
            <w:noWrap w:val="0"/>
            <w:vAlign w:val="center"/>
          </w:tcPr>
          <w:p w14:paraId="3B0990DA">
            <w:pPr>
              <w:tabs>
                <w:tab w:val="left" w:pos="1050"/>
              </w:tabs>
              <w:snapToGrid w:val="0"/>
              <w:jc w:val="center"/>
              <w:rPr>
                <w:rFonts w:hint="eastAsia" w:ascii="宋体" w:hAnsi="宋体" w:eastAsia="宋体" w:cs="宋体"/>
                <w:color w:val="auto"/>
                <w:sz w:val="28"/>
                <w:szCs w:val="28"/>
                <w:lang w:eastAsia="zh-CN"/>
              </w:rPr>
            </w:pPr>
          </w:p>
        </w:tc>
        <w:tc>
          <w:tcPr>
            <w:tcW w:w="653" w:type="pct"/>
            <w:noWrap w:val="0"/>
            <w:vAlign w:val="center"/>
          </w:tcPr>
          <w:p w14:paraId="40F057F5">
            <w:pPr>
              <w:tabs>
                <w:tab w:val="left" w:pos="1050"/>
              </w:tabs>
              <w:snapToGrid w:val="0"/>
              <w:jc w:val="center"/>
              <w:rPr>
                <w:rFonts w:ascii="宋体" w:hAnsi="宋体" w:eastAsia="宋体" w:cs="宋体"/>
                <w:color w:val="auto"/>
                <w:sz w:val="28"/>
                <w:szCs w:val="28"/>
              </w:rPr>
            </w:pPr>
          </w:p>
        </w:tc>
        <w:tc>
          <w:tcPr>
            <w:tcW w:w="623" w:type="pct"/>
            <w:noWrap w:val="0"/>
            <w:vAlign w:val="center"/>
          </w:tcPr>
          <w:p w14:paraId="1AA5C2A6">
            <w:pPr>
              <w:tabs>
                <w:tab w:val="left" w:pos="1050"/>
              </w:tabs>
              <w:snapToGrid w:val="0"/>
              <w:jc w:val="center"/>
              <w:rPr>
                <w:rFonts w:ascii="宋体" w:hAnsi="宋体" w:eastAsia="宋体" w:cs="宋体"/>
                <w:color w:val="auto"/>
                <w:sz w:val="28"/>
                <w:szCs w:val="28"/>
              </w:rPr>
            </w:pPr>
          </w:p>
        </w:tc>
        <w:tc>
          <w:tcPr>
            <w:tcW w:w="666" w:type="pct"/>
            <w:noWrap w:val="0"/>
            <w:vAlign w:val="center"/>
          </w:tcPr>
          <w:p w14:paraId="64E637B3">
            <w:pPr>
              <w:tabs>
                <w:tab w:val="left" w:pos="1050"/>
              </w:tabs>
              <w:snapToGrid w:val="0"/>
              <w:jc w:val="center"/>
              <w:rPr>
                <w:rFonts w:ascii="宋体" w:hAnsi="宋体" w:eastAsia="宋体" w:cs="宋体"/>
                <w:color w:val="auto"/>
                <w:sz w:val="28"/>
                <w:szCs w:val="28"/>
              </w:rPr>
            </w:pPr>
          </w:p>
        </w:tc>
        <w:tc>
          <w:tcPr>
            <w:tcW w:w="677" w:type="pct"/>
            <w:noWrap w:val="0"/>
            <w:vAlign w:val="center"/>
          </w:tcPr>
          <w:p w14:paraId="5C73D9BC">
            <w:pPr>
              <w:tabs>
                <w:tab w:val="left" w:pos="1050"/>
              </w:tabs>
              <w:snapToGrid w:val="0"/>
              <w:jc w:val="center"/>
              <w:rPr>
                <w:rFonts w:ascii="宋体" w:hAnsi="宋体" w:eastAsia="宋体" w:cs="宋体"/>
                <w:color w:val="auto"/>
                <w:sz w:val="28"/>
                <w:szCs w:val="28"/>
              </w:rPr>
            </w:pPr>
          </w:p>
        </w:tc>
      </w:tr>
      <w:tr w14:paraId="4042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94" w:type="pct"/>
            <w:noWrap w:val="0"/>
            <w:vAlign w:val="center"/>
          </w:tcPr>
          <w:p w14:paraId="223113F5">
            <w:pPr>
              <w:tabs>
                <w:tab w:val="left" w:pos="1050"/>
              </w:tabs>
              <w:snapToGrid w:val="0"/>
              <w:jc w:val="center"/>
              <w:rPr>
                <w:rFonts w:hint="default"/>
                <w:color w:val="auto"/>
                <w:lang w:val="en-US" w:eastAsia="zh-CN"/>
              </w:rPr>
            </w:pPr>
          </w:p>
        </w:tc>
        <w:tc>
          <w:tcPr>
            <w:tcW w:w="1029" w:type="pct"/>
            <w:noWrap w:val="0"/>
            <w:vAlign w:val="center"/>
          </w:tcPr>
          <w:p w14:paraId="3430CE0E">
            <w:pPr>
              <w:tabs>
                <w:tab w:val="left" w:pos="1050"/>
              </w:tabs>
              <w:snapToGrid w:val="0"/>
              <w:jc w:val="center"/>
              <w:rPr>
                <w:rFonts w:hint="eastAsia" w:ascii="宋体" w:hAnsi="宋体" w:eastAsia="宋体" w:cs="宋体"/>
                <w:color w:val="auto"/>
                <w:sz w:val="28"/>
                <w:szCs w:val="28"/>
                <w:lang w:val="en-US" w:eastAsia="zh-CN"/>
              </w:rPr>
            </w:pPr>
          </w:p>
        </w:tc>
        <w:tc>
          <w:tcPr>
            <w:tcW w:w="449" w:type="pct"/>
            <w:noWrap w:val="0"/>
            <w:vAlign w:val="center"/>
          </w:tcPr>
          <w:p w14:paraId="6CB43D0F">
            <w:pPr>
              <w:tabs>
                <w:tab w:val="left" w:pos="1050"/>
              </w:tabs>
              <w:snapToGrid w:val="0"/>
              <w:jc w:val="center"/>
              <w:rPr>
                <w:rFonts w:ascii="宋体" w:hAnsi="宋体" w:eastAsia="宋体" w:cs="宋体"/>
                <w:color w:val="auto"/>
                <w:sz w:val="28"/>
                <w:szCs w:val="28"/>
              </w:rPr>
            </w:pPr>
          </w:p>
        </w:tc>
        <w:tc>
          <w:tcPr>
            <w:tcW w:w="257" w:type="pct"/>
            <w:noWrap w:val="0"/>
            <w:vAlign w:val="center"/>
          </w:tcPr>
          <w:p w14:paraId="31558AEB">
            <w:pPr>
              <w:tabs>
                <w:tab w:val="left" w:pos="1050"/>
              </w:tabs>
              <w:snapToGrid w:val="0"/>
              <w:jc w:val="center"/>
              <w:rPr>
                <w:rFonts w:hint="default" w:ascii="宋体" w:hAnsi="宋体" w:eastAsia="宋体" w:cs="宋体"/>
                <w:color w:val="auto"/>
                <w:sz w:val="28"/>
                <w:szCs w:val="28"/>
                <w:lang w:val="en-US" w:eastAsia="zh-CN"/>
              </w:rPr>
            </w:pPr>
          </w:p>
        </w:tc>
        <w:tc>
          <w:tcPr>
            <w:tcW w:w="348" w:type="pct"/>
            <w:noWrap w:val="0"/>
            <w:vAlign w:val="center"/>
          </w:tcPr>
          <w:p w14:paraId="06682B78">
            <w:pPr>
              <w:tabs>
                <w:tab w:val="left" w:pos="1050"/>
              </w:tabs>
              <w:snapToGrid w:val="0"/>
              <w:jc w:val="center"/>
              <w:rPr>
                <w:rFonts w:hint="eastAsia" w:ascii="宋体" w:hAnsi="宋体" w:eastAsia="宋体" w:cs="宋体"/>
                <w:color w:val="auto"/>
                <w:sz w:val="28"/>
                <w:szCs w:val="28"/>
                <w:lang w:eastAsia="zh-CN"/>
              </w:rPr>
            </w:pPr>
          </w:p>
        </w:tc>
        <w:tc>
          <w:tcPr>
            <w:tcW w:w="653" w:type="pct"/>
            <w:noWrap w:val="0"/>
            <w:vAlign w:val="center"/>
          </w:tcPr>
          <w:p w14:paraId="38828901">
            <w:pPr>
              <w:tabs>
                <w:tab w:val="left" w:pos="1050"/>
              </w:tabs>
              <w:snapToGrid w:val="0"/>
              <w:jc w:val="center"/>
              <w:rPr>
                <w:rFonts w:ascii="宋体" w:hAnsi="宋体" w:eastAsia="宋体" w:cs="宋体"/>
                <w:color w:val="auto"/>
                <w:sz w:val="28"/>
                <w:szCs w:val="28"/>
              </w:rPr>
            </w:pPr>
          </w:p>
        </w:tc>
        <w:tc>
          <w:tcPr>
            <w:tcW w:w="623" w:type="pct"/>
            <w:noWrap w:val="0"/>
            <w:vAlign w:val="center"/>
          </w:tcPr>
          <w:p w14:paraId="1D3228FD">
            <w:pPr>
              <w:tabs>
                <w:tab w:val="left" w:pos="1050"/>
              </w:tabs>
              <w:snapToGrid w:val="0"/>
              <w:jc w:val="center"/>
              <w:rPr>
                <w:rFonts w:ascii="宋体" w:hAnsi="宋体" w:eastAsia="宋体" w:cs="宋体"/>
                <w:color w:val="auto"/>
                <w:sz w:val="28"/>
                <w:szCs w:val="28"/>
              </w:rPr>
            </w:pPr>
          </w:p>
        </w:tc>
        <w:tc>
          <w:tcPr>
            <w:tcW w:w="666" w:type="pct"/>
            <w:noWrap w:val="0"/>
            <w:vAlign w:val="center"/>
          </w:tcPr>
          <w:p w14:paraId="38A9373C">
            <w:pPr>
              <w:tabs>
                <w:tab w:val="left" w:pos="1050"/>
              </w:tabs>
              <w:snapToGrid w:val="0"/>
              <w:jc w:val="center"/>
              <w:rPr>
                <w:rFonts w:ascii="宋体" w:hAnsi="宋体" w:eastAsia="宋体" w:cs="宋体"/>
                <w:color w:val="auto"/>
                <w:sz w:val="28"/>
                <w:szCs w:val="28"/>
              </w:rPr>
            </w:pPr>
          </w:p>
        </w:tc>
        <w:tc>
          <w:tcPr>
            <w:tcW w:w="677" w:type="pct"/>
            <w:noWrap w:val="0"/>
            <w:vAlign w:val="center"/>
          </w:tcPr>
          <w:p w14:paraId="35E285C7">
            <w:pPr>
              <w:tabs>
                <w:tab w:val="left" w:pos="1050"/>
              </w:tabs>
              <w:snapToGrid w:val="0"/>
              <w:jc w:val="center"/>
              <w:rPr>
                <w:rFonts w:ascii="宋体" w:hAnsi="宋体" w:eastAsia="宋体" w:cs="宋体"/>
                <w:color w:val="auto"/>
                <w:sz w:val="28"/>
                <w:szCs w:val="28"/>
              </w:rPr>
            </w:pPr>
          </w:p>
        </w:tc>
      </w:tr>
      <w:tr w14:paraId="5CE9D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94" w:type="pct"/>
            <w:noWrap w:val="0"/>
            <w:vAlign w:val="center"/>
          </w:tcPr>
          <w:p w14:paraId="66BFFF0F">
            <w:pPr>
              <w:tabs>
                <w:tab w:val="left" w:pos="1050"/>
              </w:tabs>
              <w:snapToGrid w:val="0"/>
              <w:jc w:val="center"/>
              <w:rPr>
                <w:rFonts w:hint="default"/>
                <w:color w:val="auto"/>
                <w:lang w:val="en-US" w:eastAsia="zh-CN"/>
              </w:rPr>
            </w:pPr>
          </w:p>
        </w:tc>
        <w:tc>
          <w:tcPr>
            <w:tcW w:w="1029" w:type="pct"/>
            <w:noWrap w:val="0"/>
            <w:vAlign w:val="center"/>
          </w:tcPr>
          <w:p w14:paraId="40DCCA21">
            <w:pPr>
              <w:tabs>
                <w:tab w:val="left" w:pos="1050"/>
              </w:tabs>
              <w:snapToGrid w:val="0"/>
              <w:jc w:val="center"/>
              <w:rPr>
                <w:rFonts w:hint="eastAsia" w:ascii="宋体" w:hAnsi="宋体" w:eastAsia="宋体" w:cs="宋体"/>
                <w:color w:val="auto"/>
                <w:sz w:val="28"/>
                <w:szCs w:val="28"/>
                <w:lang w:val="en-US" w:eastAsia="zh-CN"/>
              </w:rPr>
            </w:pPr>
          </w:p>
        </w:tc>
        <w:tc>
          <w:tcPr>
            <w:tcW w:w="449" w:type="pct"/>
            <w:noWrap w:val="0"/>
            <w:vAlign w:val="center"/>
          </w:tcPr>
          <w:p w14:paraId="39E3652E">
            <w:pPr>
              <w:tabs>
                <w:tab w:val="left" w:pos="1050"/>
              </w:tabs>
              <w:snapToGrid w:val="0"/>
              <w:jc w:val="center"/>
              <w:rPr>
                <w:rFonts w:ascii="宋体" w:hAnsi="宋体" w:eastAsia="宋体" w:cs="宋体"/>
                <w:color w:val="auto"/>
                <w:sz w:val="28"/>
                <w:szCs w:val="28"/>
              </w:rPr>
            </w:pPr>
          </w:p>
        </w:tc>
        <w:tc>
          <w:tcPr>
            <w:tcW w:w="257" w:type="pct"/>
            <w:noWrap w:val="0"/>
            <w:vAlign w:val="center"/>
          </w:tcPr>
          <w:p w14:paraId="1D4554F2">
            <w:pPr>
              <w:tabs>
                <w:tab w:val="left" w:pos="1050"/>
              </w:tabs>
              <w:snapToGrid w:val="0"/>
              <w:jc w:val="center"/>
              <w:rPr>
                <w:rFonts w:hint="default" w:ascii="宋体" w:hAnsi="宋体" w:eastAsia="宋体" w:cs="宋体"/>
                <w:color w:val="auto"/>
                <w:sz w:val="28"/>
                <w:szCs w:val="28"/>
                <w:lang w:val="en-US" w:eastAsia="zh-CN"/>
              </w:rPr>
            </w:pPr>
          </w:p>
        </w:tc>
        <w:tc>
          <w:tcPr>
            <w:tcW w:w="348" w:type="pct"/>
            <w:noWrap w:val="0"/>
            <w:vAlign w:val="center"/>
          </w:tcPr>
          <w:p w14:paraId="43CF503F">
            <w:pPr>
              <w:tabs>
                <w:tab w:val="left" w:pos="1050"/>
              </w:tabs>
              <w:snapToGrid w:val="0"/>
              <w:jc w:val="center"/>
              <w:rPr>
                <w:rFonts w:hint="eastAsia" w:ascii="宋体" w:hAnsi="宋体" w:eastAsia="宋体" w:cs="宋体"/>
                <w:color w:val="auto"/>
                <w:sz w:val="28"/>
                <w:szCs w:val="28"/>
                <w:lang w:eastAsia="zh-CN"/>
              </w:rPr>
            </w:pPr>
          </w:p>
        </w:tc>
        <w:tc>
          <w:tcPr>
            <w:tcW w:w="653" w:type="pct"/>
            <w:noWrap w:val="0"/>
            <w:vAlign w:val="center"/>
          </w:tcPr>
          <w:p w14:paraId="092124BC">
            <w:pPr>
              <w:tabs>
                <w:tab w:val="left" w:pos="1050"/>
              </w:tabs>
              <w:snapToGrid w:val="0"/>
              <w:jc w:val="center"/>
              <w:rPr>
                <w:rFonts w:ascii="宋体" w:hAnsi="宋体" w:eastAsia="宋体" w:cs="宋体"/>
                <w:color w:val="auto"/>
                <w:sz w:val="28"/>
                <w:szCs w:val="28"/>
              </w:rPr>
            </w:pPr>
          </w:p>
        </w:tc>
        <w:tc>
          <w:tcPr>
            <w:tcW w:w="623" w:type="pct"/>
            <w:noWrap w:val="0"/>
            <w:vAlign w:val="center"/>
          </w:tcPr>
          <w:p w14:paraId="4F943942">
            <w:pPr>
              <w:tabs>
                <w:tab w:val="left" w:pos="1050"/>
              </w:tabs>
              <w:snapToGrid w:val="0"/>
              <w:jc w:val="center"/>
              <w:rPr>
                <w:rFonts w:ascii="宋体" w:hAnsi="宋体" w:eastAsia="宋体" w:cs="宋体"/>
                <w:color w:val="auto"/>
                <w:sz w:val="28"/>
                <w:szCs w:val="28"/>
              </w:rPr>
            </w:pPr>
          </w:p>
        </w:tc>
        <w:tc>
          <w:tcPr>
            <w:tcW w:w="666" w:type="pct"/>
            <w:noWrap w:val="0"/>
            <w:vAlign w:val="center"/>
          </w:tcPr>
          <w:p w14:paraId="698177B4">
            <w:pPr>
              <w:tabs>
                <w:tab w:val="left" w:pos="1050"/>
              </w:tabs>
              <w:snapToGrid w:val="0"/>
              <w:jc w:val="center"/>
              <w:rPr>
                <w:rFonts w:ascii="宋体" w:hAnsi="宋体" w:eastAsia="宋体" w:cs="宋体"/>
                <w:color w:val="auto"/>
                <w:sz w:val="28"/>
                <w:szCs w:val="28"/>
              </w:rPr>
            </w:pPr>
          </w:p>
        </w:tc>
        <w:tc>
          <w:tcPr>
            <w:tcW w:w="677" w:type="pct"/>
            <w:noWrap w:val="0"/>
            <w:vAlign w:val="center"/>
          </w:tcPr>
          <w:p w14:paraId="4A63FE43">
            <w:pPr>
              <w:tabs>
                <w:tab w:val="left" w:pos="1050"/>
              </w:tabs>
              <w:snapToGrid w:val="0"/>
              <w:jc w:val="center"/>
              <w:rPr>
                <w:rFonts w:ascii="宋体" w:hAnsi="宋体" w:eastAsia="宋体" w:cs="宋体"/>
                <w:color w:val="auto"/>
                <w:sz w:val="28"/>
                <w:szCs w:val="28"/>
              </w:rPr>
            </w:pPr>
          </w:p>
        </w:tc>
      </w:tr>
      <w:tr w14:paraId="3133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5000" w:type="pct"/>
            <w:gridSpan w:val="9"/>
            <w:noWrap w:val="0"/>
            <w:vAlign w:val="center"/>
          </w:tcPr>
          <w:p w14:paraId="4E0EADD5">
            <w:pPr>
              <w:tabs>
                <w:tab w:val="left" w:pos="1050"/>
              </w:tabs>
              <w:snapToGrid w:val="0"/>
              <w:jc w:val="left"/>
              <w:rPr>
                <w:rFonts w:hint="eastAsia" w:ascii="宋体" w:hAnsi="宋体" w:eastAsia="宋体" w:cs="宋体"/>
                <w:color w:val="auto"/>
                <w:sz w:val="28"/>
                <w:szCs w:val="28"/>
              </w:rPr>
            </w:pPr>
            <w:r>
              <w:rPr>
                <w:rFonts w:hint="eastAsia" w:ascii="宋体" w:hAnsi="宋体" w:eastAsia="宋体" w:cs="宋体"/>
                <w:color w:val="auto"/>
                <w:sz w:val="28"/>
                <w:szCs w:val="28"/>
              </w:rPr>
              <w:t xml:space="preserve">总金额（大写）：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 xml:space="preserve">  (¥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元）（含税）</w:t>
            </w:r>
          </w:p>
        </w:tc>
      </w:tr>
    </w:tbl>
    <w:p w14:paraId="5344C8E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（注：若设备在甲方提供的用电电源基础上有其他特殊要求的、设备机房需做改造的由乙方负责完成（包括电缆电源专用箱、射线警示灯、墙壁开孔、地板加固、加装防护等设施设备用工用料费用）。</w:t>
      </w:r>
    </w:p>
    <w:p w14:paraId="04492F0C">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二、1.交货地点：西安市碑林区疾病预防控制中心（设备安装点）</w:t>
      </w:r>
      <w:r>
        <w:rPr>
          <w:rFonts w:hint="eastAsia" w:ascii="仿宋" w:hAnsi="仿宋" w:eastAsia="仿宋"/>
          <w:color w:val="auto"/>
          <w:sz w:val="32"/>
          <w:szCs w:val="32"/>
          <w:lang w:eastAsia="zh-CN"/>
        </w:rPr>
        <w:t>。</w:t>
      </w:r>
      <w:r>
        <w:rPr>
          <w:rFonts w:hint="eastAsia" w:ascii="仿宋" w:hAnsi="仿宋" w:eastAsia="仿宋"/>
          <w:color w:val="auto"/>
          <w:sz w:val="32"/>
          <w:szCs w:val="32"/>
        </w:rPr>
        <w:t xml:space="preserve"> </w:t>
      </w:r>
    </w:p>
    <w:p w14:paraId="3D8D4B64">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2.交货注意事项：交货前与</w:t>
      </w:r>
      <w:r>
        <w:rPr>
          <w:rFonts w:hint="eastAsia" w:ascii="仿宋" w:hAnsi="仿宋" w:eastAsia="仿宋"/>
          <w:color w:val="auto"/>
          <w:sz w:val="32"/>
          <w:szCs w:val="32"/>
          <w:lang w:eastAsia="zh-CN"/>
        </w:rPr>
        <w:t>甲方</w:t>
      </w:r>
      <w:r>
        <w:rPr>
          <w:rFonts w:hint="eastAsia" w:ascii="仿宋" w:hAnsi="仿宋" w:eastAsia="仿宋"/>
          <w:color w:val="auto"/>
          <w:sz w:val="32"/>
          <w:szCs w:val="32"/>
        </w:rPr>
        <w:t>主管科室等部门联系做好设备进场前期准备工作，进场时和进场后必须严格按照相关部门要求开展工作。</w:t>
      </w:r>
    </w:p>
    <w:p w14:paraId="2452D505">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3.设备安装前需要主动与项目单位主管部门对接，协商安装事宜。</w:t>
      </w:r>
    </w:p>
    <w:p w14:paraId="2FF9212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4.设备安装后负责清理安装时所产生的垃圾及外包装。</w:t>
      </w:r>
    </w:p>
    <w:p w14:paraId="59CCED0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三、1.交货期：合同签订后，在具备安装条件之日起30天（如若生产厂家或中标单位在投标文件内体现交货期＜30天的以投标文件为准）。</w:t>
      </w:r>
    </w:p>
    <w:p w14:paraId="06C9F3EA">
      <w:pPr>
        <w:numPr>
          <w:ilvl w:val="0"/>
          <w:numId w:val="0"/>
        </w:num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s="Times New Roman"/>
          <w:color w:val="auto"/>
          <w:kern w:val="2"/>
          <w:sz w:val="32"/>
          <w:szCs w:val="32"/>
          <w:lang w:val="en-US" w:eastAsia="zh-CN" w:bidi="ar-SA"/>
        </w:rPr>
        <w:t>2.</w:t>
      </w:r>
      <w:r>
        <w:rPr>
          <w:rFonts w:hint="eastAsia" w:ascii="仿宋" w:hAnsi="仿宋" w:eastAsia="仿宋"/>
          <w:color w:val="auto"/>
          <w:sz w:val="32"/>
          <w:szCs w:val="32"/>
        </w:rPr>
        <w:t>安装期：设备到场后，乙方需在</w:t>
      </w:r>
      <w:r>
        <w:rPr>
          <w:rFonts w:hint="eastAsia" w:ascii="仿宋" w:hAnsi="仿宋" w:eastAsia="仿宋"/>
          <w:color w:val="auto"/>
          <w:sz w:val="32"/>
          <w:szCs w:val="32"/>
          <w:lang w:val="en-US" w:eastAsia="zh-CN"/>
        </w:rPr>
        <w:t>15</w:t>
      </w:r>
      <w:r>
        <w:rPr>
          <w:rFonts w:hint="eastAsia" w:ascii="仿宋" w:hAnsi="仿宋" w:eastAsia="仿宋"/>
          <w:color w:val="auto"/>
          <w:sz w:val="32"/>
          <w:szCs w:val="32"/>
        </w:rPr>
        <w:t>天内完成安装调试工作，并达到甲方要求的验收标准。</w:t>
      </w:r>
    </w:p>
    <w:p w14:paraId="0B6483C7">
      <w:pPr>
        <w:numPr>
          <w:numId w:val="0"/>
        </w:numPr>
        <w:spacing w:line="520" w:lineRule="exact"/>
        <w:ind w:firstLine="640" w:firstLineChars="200"/>
        <w:jc w:val="both"/>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3.软件系统服务期：</w:t>
      </w:r>
      <w:r>
        <w:rPr>
          <w:rFonts w:hint="eastAsia" w:ascii="仿宋" w:hAnsi="仿宋" w:eastAsia="仿宋"/>
          <w:color w:val="auto"/>
          <w:sz w:val="32"/>
          <w:szCs w:val="32"/>
        </w:rPr>
        <w:t>合同签订后</w:t>
      </w:r>
      <w:r>
        <w:rPr>
          <w:rFonts w:hint="eastAsia" w:ascii="仿宋" w:hAnsi="仿宋" w:eastAsia="仿宋"/>
          <w:color w:val="auto"/>
          <w:sz w:val="32"/>
          <w:szCs w:val="32"/>
          <w:lang w:val="en-US" w:eastAsia="zh-CN"/>
        </w:rPr>
        <w:t>1年。</w:t>
      </w:r>
      <w:bookmarkStart w:id="10" w:name="_GoBack"/>
      <w:bookmarkEnd w:id="10"/>
    </w:p>
    <w:p w14:paraId="3167993D">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四、合同价款</w:t>
      </w:r>
    </w:p>
    <w:p w14:paraId="0F51036C">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1.合同总价是投标产品在使用地点达到正常使用条件下所包含的所有费用，包括：新产品供应价、运杂费(含保险)、调试费、培训费及其它相关费用。</w:t>
      </w:r>
    </w:p>
    <w:p w14:paraId="3DDE571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2.合同总价一次包死，在合同执行期间不受市场价变化的影响。</w:t>
      </w:r>
    </w:p>
    <w:p w14:paraId="6C8000E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五、付款方式</w:t>
      </w:r>
    </w:p>
    <w:p w14:paraId="1B6FA3C5">
      <w:pPr>
        <w:spacing w:line="520" w:lineRule="exact"/>
        <w:ind w:firstLine="640" w:firstLineChars="200"/>
        <w:jc w:val="both"/>
        <w:rPr>
          <w:rFonts w:hint="eastAsia" w:ascii="仿宋" w:hAnsi="仿宋" w:eastAsia="仿宋"/>
          <w:color w:val="auto"/>
          <w:sz w:val="32"/>
          <w:szCs w:val="32"/>
          <w:lang w:eastAsia="zh-CN"/>
        </w:rPr>
      </w:pPr>
      <w:r>
        <w:rPr>
          <w:rFonts w:hint="eastAsia" w:ascii="仿宋" w:hAnsi="仿宋" w:eastAsia="仿宋"/>
          <w:color w:val="auto"/>
          <w:sz w:val="32"/>
          <w:szCs w:val="32"/>
        </w:rPr>
        <w:t>1.采购设备均安装调试完成验收合格后，达到付款条件起43个工作日内，支付合同总金额的60%</w:t>
      </w:r>
      <w:r>
        <w:rPr>
          <w:rFonts w:hint="eastAsia" w:ascii="仿宋" w:hAnsi="仿宋" w:eastAsia="仿宋"/>
          <w:color w:val="auto"/>
          <w:sz w:val="32"/>
          <w:szCs w:val="32"/>
          <w:lang w:eastAsia="zh-CN"/>
        </w:rPr>
        <w:t>；</w:t>
      </w:r>
    </w:p>
    <w:p w14:paraId="0DEA490F">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w:t>
      </w:r>
      <w:r>
        <w:rPr>
          <w:rFonts w:hint="eastAsia" w:ascii="仿宋" w:hAnsi="仿宋" w:eastAsia="仿宋"/>
          <w:color w:val="auto"/>
          <w:sz w:val="32"/>
          <w:szCs w:val="32"/>
          <w:lang w:val="en-US" w:eastAsia="zh-CN"/>
        </w:rPr>
        <w:t>.</w:t>
      </w:r>
      <w:r>
        <w:rPr>
          <w:rFonts w:hint="eastAsia" w:ascii="仿宋" w:hAnsi="仿宋" w:eastAsia="仿宋"/>
          <w:color w:val="auto"/>
          <w:sz w:val="32"/>
          <w:szCs w:val="32"/>
        </w:rPr>
        <w:t>采购设备均安装调试完成验收合格后一年内，达到付款条件起10个工作日内，支付合同总金额的40%。</w:t>
      </w:r>
    </w:p>
    <w:p w14:paraId="3E168168">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3.乙方指定收款银行账户信息:</w:t>
      </w:r>
    </w:p>
    <w:p w14:paraId="7AC7C754">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1)公司名称：            </w:t>
      </w:r>
    </w:p>
    <w:p w14:paraId="7474E0A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2)开户行名称：       </w:t>
      </w:r>
      <w:r>
        <w:rPr>
          <w:rFonts w:hint="eastAsia" w:ascii="仿宋" w:hAnsi="仿宋" w:eastAsia="仿宋"/>
          <w:color w:val="auto"/>
          <w:sz w:val="32"/>
          <w:szCs w:val="32"/>
          <w:lang w:val="zh-CN"/>
        </w:rPr>
        <w:t xml:space="preserve">  </w:t>
      </w:r>
    </w:p>
    <w:p w14:paraId="596EFE8B">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3)帐号：               </w:t>
      </w:r>
    </w:p>
    <w:p w14:paraId="77333C7F">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4.甲方付款前，乙方应当按照甲方要求提供正规等额税票，否则甲方付款时间相应顺延；同时甲方内部报账付款流程期限导致不能按期付款的，付款时间相应顺延，不属于违约，无需承担违约责任。</w:t>
      </w:r>
    </w:p>
    <w:p w14:paraId="41107466">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六、</w:t>
      </w:r>
      <w:r>
        <w:rPr>
          <w:rFonts w:hint="eastAsia" w:ascii="仿宋" w:hAnsi="仿宋" w:eastAsia="仿宋"/>
          <w:color w:val="auto"/>
          <w:sz w:val="32"/>
          <w:szCs w:val="32"/>
          <w:lang w:val="en-US" w:eastAsia="zh-CN"/>
        </w:rPr>
        <w:t>包装和</w:t>
      </w:r>
      <w:r>
        <w:rPr>
          <w:rFonts w:hint="eastAsia" w:ascii="仿宋" w:hAnsi="仿宋" w:eastAsia="仿宋"/>
          <w:color w:val="auto"/>
          <w:sz w:val="32"/>
          <w:szCs w:val="32"/>
        </w:rPr>
        <w:t>运输</w:t>
      </w:r>
    </w:p>
    <w:p w14:paraId="7068D5F4">
      <w:pPr>
        <w:spacing w:line="520" w:lineRule="exact"/>
        <w:ind w:firstLine="640" w:firstLineChars="200"/>
        <w:jc w:val="both"/>
        <w:rPr>
          <w:rFonts w:hint="eastAsia" w:ascii="仿宋" w:hAnsi="仿宋" w:eastAsia="仿宋"/>
          <w:color w:val="auto"/>
          <w:sz w:val="32"/>
          <w:szCs w:val="32"/>
          <w:lang w:eastAsia="zh-CN"/>
        </w:rPr>
      </w:pPr>
      <w:r>
        <w:rPr>
          <w:rFonts w:hint="eastAsia" w:ascii="仿宋" w:hAnsi="仿宋" w:eastAsia="仿宋"/>
          <w:color w:val="auto"/>
          <w:sz w:val="32"/>
          <w:szCs w:val="32"/>
          <w:lang w:val="en-US" w:eastAsia="zh-CN"/>
        </w:rPr>
        <w:t>1.</w:t>
      </w:r>
      <w:r>
        <w:rPr>
          <w:rFonts w:hint="eastAsia" w:ascii="仿宋" w:hAnsi="仿宋" w:eastAsia="仿宋"/>
          <w:color w:val="auto"/>
          <w:sz w:val="32"/>
          <w:szCs w:val="32"/>
        </w:rPr>
        <w:t>按出厂原包装</w:t>
      </w:r>
      <w:r>
        <w:rPr>
          <w:rFonts w:hint="eastAsia" w:ascii="仿宋" w:hAnsi="仿宋" w:eastAsia="仿宋"/>
          <w:color w:val="auto"/>
          <w:sz w:val="32"/>
          <w:szCs w:val="32"/>
          <w:lang w:eastAsia="zh-CN"/>
        </w:rPr>
        <w:t>。</w:t>
      </w:r>
    </w:p>
    <w:p w14:paraId="568F3F03">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lang w:val="en-US" w:eastAsia="zh-CN"/>
        </w:rPr>
        <w:t>2</w:t>
      </w:r>
      <w:r>
        <w:rPr>
          <w:rFonts w:hint="eastAsia" w:ascii="仿宋" w:hAnsi="仿宋" w:eastAsia="仿宋"/>
          <w:color w:val="auto"/>
          <w:sz w:val="32"/>
          <w:szCs w:val="32"/>
        </w:rPr>
        <w:t>.运杂费：一次包死，已包含在合同总价内，包括从产品供应地点到交货地点所包含的运输费、保险费、装卸费、搬运费等全部费用。</w:t>
      </w:r>
    </w:p>
    <w:p w14:paraId="53AD50BA">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lang w:val="en-US" w:eastAsia="zh-CN"/>
        </w:rPr>
        <w:t>3</w:t>
      </w:r>
      <w:r>
        <w:rPr>
          <w:rFonts w:hint="eastAsia" w:ascii="仿宋" w:hAnsi="仿宋" w:eastAsia="仿宋"/>
          <w:color w:val="auto"/>
          <w:sz w:val="32"/>
          <w:szCs w:val="32"/>
        </w:rPr>
        <w:t>.运输方式：乙方自行选择。</w:t>
      </w:r>
    </w:p>
    <w:p w14:paraId="5EB24003">
      <w:pPr>
        <w:spacing w:line="520" w:lineRule="exact"/>
        <w:ind w:firstLine="640" w:firstLineChars="200"/>
        <w:jc w:val="both"/>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4.乙方在设备发运手续办理完毕后24小时内或货到甲方48小时前通知甲方，以准备接设备。</w:t>
      </w:r>
    </w:p>
    <w:p w14:paraId="56038386">
      <w:pPr>
        <w:spacing w:line="520" w:lineRule="exact"/>
        <w:ind w:firstLine="640" w:firstLineChars="200"/>
        <w:jc w:val="both"/>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5.设备在交付甲方前发生的风险均由乙方负责。</w:t>
      </w:r>
    </w:p>
    <w:p w14:paraId="6F12869C">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七、售后服务</w:t>
      </w:r>
    </w:p>
    <w:p w14:paraId="200D08DB">
      <w:pPr>
        <w:spacing w:line="520" w:lineRule="exact"/>
        <w:ind w:firstLine="640" w:firstLineChars="200"/>
        <w:jc w:val="both"/>
        <w:rPr>
          <w:rFonts w:hint="eastAsia" w:ascii="仿宋" w:hAnsi="仿宋" w:eastAsia="仿宋" w:cs="Times New Roman"/>
          <w:color w:val="auto"/>
          <w:sz w:val="32"/>
          <w:szCs w:val="32"/>
        </w:rPr>
      </w:pPr>
      <w:r>
        <w:rPr>
          <w:rFonts w:hint="eastAsia" w:ascii="仿宋" w:hAnsi="仿宋" w:eastAsia="仿宋" w:cs="Times New Roman"/>
          <w:color w:val="auto"/>
          <w:sz w:val="32"/>
          <w:szCs w:val="32"/>
        </w:rPr>
        <w:t>1.质保期:从设备安装验收合格之日</w:t>
      </w:r>
      <w:r>
        <w:rPr>
          <w:rFonts w:hint="eastAsia" w:ascii="仿宋" w:hAnsi="仿宋" w:eastAsia="仿宋" w:cs="Times New Roman"/>
          <w:color w:val="auto"/>
          <w:sz w:val="32"/>
          <w:szCs w:val="32"/>
          <w:lang w:val="en-US" w:eastAsia="zh-CN"/>
        </w:rPr>
        <w:t>2年</w:t>
      </w:r>
      <w:r>
        <w:rPr>
          <w:rFonts w:hint="eastAsia" w:ascii="仿宋" w:hAnsi="仿宋" w:eastAsia="仿宋" w:cs="Times New Roman"/>
          <w:color w:val="auto"/>
          <w:sz w:val="32"/>
          <w:szCs w:val="32"/>
        </w:rPr>
        <w:t>（如生产厂家或中标单位在投标文件内体现质保期＞</w:t>
      </w:r>
      <w:r>
        <w:rPr>
          <w:rFonts w:hint="eastAsia" w:ascii="仿宋" w:hAnsi="仿宋" w:eastAsia="仿宋" w:cs="Times New Roman"/>
          <w:color w:val="auto"/>
          <w:sz w:val="32"/>
          <w:szCs w:val="32"/>
          <w:lang w:val="en-US" w:eastAsia="zh-CN"/>
        </w:rPr>
        <w:t>前述要求</w:t>
      </w:r>
      <w:r>
        <w:rPr>
          <w:rFonts w:hint="eastAsia" w:ascii="仿宋" w:hAnsi="仿宋" w:eastAsia="仿宋" w:cs="Times New Roman"/>
          <w:color w:val="auto"/>
          <w:sz w:val="32"/>
          <w:szCs w:val="32"/>
        </w:rPr>
        <w:t>的以投标文件为准）质保期内设备需要进行无偿的、定期的维护和保养。</w:t>
      </w:r>
    </w:p>
    <w:p w14:paraId="54E0A163">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w:t>
      </w:r>
    </w:p>
    <w:p w14:paraId="4293595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3.质保期外服务：在质保期后设备终身维修，维修时只收取零配件成本价格费用，免收其余一切费用。</w:t>
      </w:r>
    </w:p>
    <w:p w14:paraId="7AC57F9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4.大型设备应当提供维修维护手册、常用备件（包括耗材）与易损零部件的清单及价格表。</w:t>
      </w:r>
    </w:p>
    <w:p w14:paraId="175FBB3A">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5.有故障代码和维修密码的设备应提供故障代码表及维修密码，带有软件的设备应提供软件备份。</w:t>
      </w:r>
    </w:p>
    <w:p w14:paraId="5E049A40">
      <w:pPr>
        <w:spacing w:line="520" w:lineRule="exact"/>
        <w:ind w:firstLine="640" w:firstLineChars="200"/>
        <w:jc w:val="both"/>
        <w:rPr>
          <w:rFonts w:hint="eastAsia" w:ascii="仿宋" w:hAnsi="仿宋" w:eastAsia="仿宋"/>
          <w:color w:val="auto"/>
          <w:sz w:val="32"/>
          <w:szCs w:val="32"/>
          <w:lang w:eastAsia="zh-CN"/>
        </w:rPr>
      </w:pPr>
      <w:r>
        <w:rPr>
          <w:rFonts w:hint="eastAsia" w:ascii="仿宋" w:hAnsi="仿宋" w:eastAsia="仿宋"/>
          <w:color w:val="auto"/>
          <w:sz w:val="32"/>
          <w:szCs w:val="32"/>
          <w:lang w:val="en-US" w:eastAsia="zh-CN"/>
        </w:rPr>
        <w:t>6.</w:t>
      </w:r>
      <w:r>
        <w:rPr>
          <w:rFonts w:hint="eastAsia" w:ascii="仿宋" w:hAnsi="仿宋" w:eastAsia="仿宋"/>
          <w:color w:val="auto"/>
          <w:sz w:val="32"/>
          <w:szCs w:val="32"/>
        </w:rPr>
        <w:t>提供售后地址、电话、维修人员资质证明</w:t>
      </w:r>
      <w:r>
        <w:rPr>
          <w:rFonts w:hint="eastAsia" w:ascii="仿宋" w:hAnsi="仿宋" w:eastAsia="仿宋"/>
          <w:color w:val="auto"/>
          <w:sz w:val="32"/>
          <w:szCs w:val="32"/>
          <w:lang w:eastAsia="zh-CN"/>
        </w:rPr>
        <w:t>。</w:t>
      </w:r>
    </w:p>
    <w:p w14:paraId="721B754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八、质量保证</w:t>
      </w:r>
    </w:p>
    <w:p w14:paraId="42007708">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1.乙方设备及材料必须保证质量可靠、进货渠道正常、配置合理，满足标书要求。</w:t>
      </w:r>
    </w:p>
    <w:p w14:paraId="4E22E891">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2.所投产品必须是最新工艺生产的最新产品，产品因原材料或加工工艺造成的质量和内外观缺陷问题，由乙方负责解决并承担全部维修、更换费用，并赔偿因此给甲方造成的一切损失。</w:t>
      </w:r>
    </w:p>
    <w:p w14:paraId="40EBDC0E">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3.乙方应保证合同项下所供设备是合同规定厂家制造的、全新的、未使用过的，并完全符合合同规定的质量、规格和性能要求的合格产品。</w:t>
      </w:r>
    </w:p>
    <w:p w14:paraId="6F896D66">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4.乙方应保证其设备在正确安装、正常使用和保养条件下，在其使用寿命期内应具有满意的性能。</w:t>
      </w:r>
    </w:p>
    <w:p w14:paraId="5FC3F4F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5.根据检验结果或者在质量保证期内，如果设备的数量、质量或规格与合同不符，或证实设备是有缺陷的，包括潜在的缺陷，乙方应赔偿由此给甲方造成的一切损失。</w:t>
      </w:r>
    </w:p>
    <w:p w14:paraId="143703DB">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6.乙方设备经过国家法定部门鉴定和注册。</w:t>
      </w:r>
    </w:p>
    <w:p w14:paraId="52FEF89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lang w:val="en-US" w:eastAsia="zh-CN"/>
        </w:rPr>
        <w:t>7.</w:t>
      </w:r>
      <w:r>
        <w:rPr>
          <w:rFonts w:hint="eastAsia" w:ascii="仿宋" w:hAnsi="仿宋" w:eastAsia="仿宋"/>
          <w:color w:val="auto"/>
          <w:sz w:val="32"/>
          <w:szCs w:val="32"/>
        </w:rPr>
        <w:t>乙方设备必须性能稳定、具有较好的使用效果，质量保证措施完善，符合国家相关标准。</w:t>
      </w:r>
    </w:p>
    <w:p w14:paraId="016FCF2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九、检验和测试</w:t>
      </w:r>
    </w:p>
    <w:p w14:paraId="52F3440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1.甲方或其代表应有权检验和测试产品及其部件，以确认所供产品是否符合合同规格的要求，并且不承担额外的费用。甲方要求进行的检验和测试，以及在何处进行这些检验和测试，以书面形式通知乙方。</w:t>
      </w:r>
    </w:p>
    <w:p w14:paraId="407B95EE">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2.检验和测试在甲方指定的地点或单位进行，以出具合格的检测报告为准。</w:t>
      </w:r>
    </w:p>
    <w:p w14:paraId="10F6B3F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十、技术服务</w:t>
      </w:r>
    </w:p>
    <w:p w14:paraId="12BD26A6">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1.技术资料：提供产品合格证和使用说明书(中文)以及产品图纸（特种设备需提供全套的设计、制造、安装、施工等技术图纸）。</w:t>
      </w:r>
    </w:p>
    <w:p w14:paraId="0EF25B6A">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2.技术培训：</w:t>
      </w:r>
    </w:p>
    <w:p w14:paraId="0FC5B175">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1)内容：应包括设备原理、使用操作、保养维修技术，使受训人员达到独立使用、熟练操作的程度。</w:t>
      </w:r>
    </w:p>
    <w:p w14:paraId="6034E69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2)地点：按照甲方要求。</w:t>
      </w:r>
    </w:p>
    <w:p w14:paraId="68D24DB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3)人员：按照甲方要求。</w:t>
      </w:r>
    </w:p>
    <w:p w14:paraId="0470D3F1">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4)费用：已包含在合同总价内，甲方不再另行支付。</w:t>
      </w:r>
    </w:p>
    <w:p w14:paraId="2274B99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十一、验收  </w:t>
      </w:r>
    </w:p>
    <w:p w14:paraId="623D79C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1.设备到货后，乙方负责安装调试，达到正常运行条件后通知</w:t>
      </w:r>
      <w:r>
        <w:rPr>
          <w:rFonts w:hint="eastAsia" w:ascii="仿宋" w:hAnsi="仿宋" w:eastAsia="仿宋"/>
          <w:color w:val="auto"/>
          <w:sz w:val="32"/>
          <w:szCs w:val="32"/>
          <w:lang w:eastAsia="zh-CN"/>
        </w:rPr>
        <w:t>甲方</w:t>
      </w:r>
      <w:r>
        <w:rPr>
          <w:rFonts w:hint="eastAsia" w:ascii="仿宋" w:hAnsi="仿宋" w:eastAsia="仿宋"/>
          <w:color w:val="auto"/>
          <w:sz w:val="32"/>
          <w:szCs w:val="32"/>
        </w:rPr>
        <w:t>验收。</w:t>
      </w:r>
    </w:p>
    <w:p w14:paraId="75886B7F">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2.甲方根据合同要求对设备进行验收、确认设备产地、规格、型号和数量。如有必要可通知招标代理机构并邀请有关专家验收。</w:t>
      </w:r>
    </w:p>
    <w:p w14:paraId="7580CFD8">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3.验收合格后，甲乙双方签署项目验收单，验收时间以验收单上签署的时间为准，验收结果以该项目验收单结论为准</w:t>
      </w:r>
      <w:r>
        <w:rPr>
          <w:rFonts w:hint="eastAsia" w:ascii="仿宋" w:hAnsi="仿宋" w:eastAsia="仿宋"/>
          <w:color w:val="auto"/>
          <w:sz w:val="32"/>
          <w:szCs w:val="32"/>
          <w:lang w:eastAsia="zh-CN"/>
        </w:rPr>
        <w:t>。</w:t>
      </w:r>
      <w:r>
        <w:rPr>
          <w:rFonts w:hint="eastAsia" w:ascii="仿宋" w:hAnsi="仿宋" w:eastAsia="仿宋"/>
          <w:color w:val="auto"/>
          <w:sz w:val="32"/>
          <w:szCs w:val="32"/>
        </w:rPr>
        <w:t>验收不合格的，乙方须在接到通知后5个日历日内完成整改提交二次验收申请，并承担二次验收费用。若二次验收仍不合格，甲方有权解除本合同，乙方需须合同金额5%支付违约金，还应赔偿因此给甲方造成的损失。</w:t>
      </w:r>
    </w:p>
    <w:p w14:paraId="2CCEE58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4.验收依据：合同文本、招标文件、投标文件以及国内相应的标准、规范。</w:t>
      </w:r>
    </w:p>
    <w:p w14:paraId="07F422B3">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5.</w:t>
      </w:r>
      <w:r>
        <w:rPr>
          <w:rFonts w:hint="eastAsia" w:ascii="仿宋" w:hAnsi="仿宋" w:eastAsia="仿宋"/>
          <w:color w:val="auto"/>
          <w:sz w:val="32"/>
          <w:szCs w:val="32"/>
          <w:lang w:val="en-US" w:eastAsia="zh-CN"/>
        </w:rPr>
        <w:t>乙方应当</w:t>
      </w:r>
      <w:r>
        <w:rPr>
          <w:rFonts w:hint="eastAsia" w:ascii="仿宋" w:hAnsi="仿宋" w:eastAsia="仿宋"/>
          <w:color w:val="auto"/>
          <w:sz w:val="32"/>
          <w:szCs w:val="32"/>
        </w:rPr>
        <w:t>向使用单位提交设备所包含的所有资料</w:t>
      </w:r>
      <w:r>
        <w:rPr>
          <w:rFonts w:hint="eastAsia" w:ascii="仿宋" w:hAnsi="仿宋" w:eastAsia="仿宋"/>
          <w:color w:val="auto"/>
          <w:sz w:val="32"/>
          <w:szCs w:val="32"/>
          <w:lang w:eastAsia="zh-CN"/>
        </w:rPr>
        <w:t>，</w:t>
      </w:r>
      <w:r>
        <w:rPr>
          <w:rFonts w:hint="eastAsia" w:ascii="仿宋" w:hAnsi="仿宋" w:eastAsia="仿宋"/>
          <w:color w:val="auto"/>
          <w:sz w:val="32"/>
          <w:szCs w:val="32"/>
        </w:rPr>
        <w:t>以便使用单位日后管理和维护。</w:t>
      </w:r>
    </w:p>
    <w:p w14:paraId="131456FB">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6.</w:t>
      </w:r>
      <w:r>
        <w:rPr>
          <w:rFonts w:hint="eastAsia" w:ascii="仿宋" w:hAnsi="仿宋" w:eastAsia="仿宋"/>
          <w:color w:val="auto"/>
          <w:sz w:val="32"/>
          <w:szCs w:val="32"/>
          <w:lang w:val="en-US" w:eastAsia="zh-CN"/>
        </w:rPr>
        <w:t>乙方</w:t>
      </w:r>
      <w:r>
        <w:rPr>
          <w:rFonts w:hint="eastAsia" w:ascii="仿宋" w:hAnsi="仿宋" w:eastAsia="仿宋"/>
          <w:color w:val="auto"/>
          <w:sz w:val="32"/>
          <w:szCs w:val="32"/>
        </w:rPr>
        <w:t>负责办理国家规定的使用许可证或其他质检计量检定证书。</w:t>
      </w:r>
    </w:p>
    <w:p w14:paraId="6881E46E">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十二、安全责任</w:t>
      </w:r>
    </w:p>
    <w:p w14:paraId="3E8EB6E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1.乙方在运输、装卸、安装调试设备时，应当注意严格按照安全规范操作，若发生人身损伤或者设备损坏等事件时，由乙方承担全部赔偿责任和法律责任。</w:t>
      </w:r>
    </w:p>
    <w:p w14:paraId="24651447">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2.本合同所约定的设备在交付甲方前，设备可能存在毁损、灭失等风险全部由乙方承担。</w:t>
      </w:r>
    </w:p>
    <w:p w14:paraId="16A46B0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十三、违约责任</w:t>
      </w:r>
    </w:p>
    <w:p w14:paraId="28296AF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本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w:t>
      </w:r>
    </w:p>
    <w:p w14:paraId="260E672C">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十四、争议解决方式</w:t>
      </w:r>
    </w:p>
    <w:p w14:paraId="23DEBAB4">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本合同在履行过程中若发生任何争议，双方均应友好协商解决，协商不成时，双方均同意向甲方所在地人民法院起诉解决。</w:t>
      </w:r>
    </w:p>
    <w:p w14:paraId="292F3934">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十五、其他条款</w:t>
      </w:r>
    </w:p>
    <w:p w14:paraId="634C82E2">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1.本合同未尽事宜由甲乙双方另行协商签订书面补充协议，补充协议为本合同的组成部分，与本合同具有同等法律效力。</w:t>
      </w:r>
    </w:p>
    <w:p w14:paraId="45826925">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2.本合同自甲乙双方签字并加盖公章之日起生效。</w:t>
      </w:r>
    </w:p>
    <w:p w14:paraId="746984AD">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3.本合同一式伍份，甲方持肆份，乙方持壹份，均具有同等法律。</w:t>
      </w:r>
    </w:p>
    <w:p w14:paraId="3496B55A">
      <w:pPr>
        <w:spacing w:line="520" w:lineRule="exact"/>
        <w:ind w:firstLine="640" w:firstLineChars="200"/>
        <w:jc w:val="left"/>
        <w:rPr>
          <w:rFonts w:hint="eastAsia" w:ascii="仿宋" w:hAnsi="仿宋" w:eastAsia="仿宋"/>
          <w:color w:val="auto"/>
          <w:sz w:val="32"/>
          <w:szCs w:val="32"/>
        </w:rPr>
      </w:pPr>
    </w:p>
    <w:p w14:paraId="0112ECA1">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需方（盖章）：                供方（盖章）：</w:t>
      </w:r>
    </w:p>
    <w:p w14:paraId="298A6E24">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 xml:space="preserve">单位名称：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单位名称：</w:t>
      </w:r>
    </w:p>
    <w:p w14:paraId="50DF7820">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 xml:space="preserve">联系电话：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联系电话：</w:t>
      </w:r>
    </w:p>
    <w:p w14:paraId="08340222">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 xml:space="preserve">需方代表签字：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供方代表签字：</w:t>
      </w:r>
    </w:p>
    <w:p w14:paraId="67C08AD0">
      <w:pPr>
        <w:spacing w:line="520" w:lineRule="exact"/>
        <w:ind w:firstLine="640" w:firstLineChars="200"/>
        <w:jc w:val="right"/>
        <w:rPr>
          <w:rFonts w:hint="eastAsia" w:ascii="仿宋" w:hAnsi="仿宋" w:eastAsia="仿宋"/>
          <w:color w:val="auto"/>
          <w:sz w:val="32"/>
          <w:szCs w:val="32"/>
          <w:u w:val="single"/>
        </w:rPr>
      </w:pPr>
      <w:r>
        <w:rPr>
          <w:rFonts w:hint="eastAsia" w:ascii="仿宋" w:hAnsi="仿宋" w:eastAsia="仿宋"/>
          <w:color w:val="auto"/>
          <w:sz w:val="32"/>
          <w:szCs w:val="32"/>
        </w:rPr>
        <w:t xml:space="preserve">签订日期：    年   月   日 </w:t>
      </w:r>
      <w:r>
        <w:rPr>
          <w:rFonts w:hint="eastAsia" w:ascii="仿宋" w:hAnsi="仿宋" w:eastAsia="仿宋"/>
          <w:color w:val="auto"/>
          <w:sz w:val="32"/>
          <w:szCs w:val="32"/>
          <w:u w:val="single"/>
        </w:rPr>
        <w:t xml:space="preserve"> </w:t>
      </w:r>
    </w:p>
    <w:bookmarkEnd w:id="9"/>
    <w:p w14:paraId="7B0966B2"/>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808B9"/>
    <w:rsid w:val="09836EB9"/>
    <w:rsid w:val="2B0507DE"/>
    <w:rsid w:val="32B34789"/>
    <w:rsid w:val="4EBF1AB6"/>
    <w:rsid w:val="529808B9"/>
    <w:rsid w:val="7BDB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2998</Words>
  <Characters>3069</Characters>
  <Lines>0</Lines>
  <Paragraphs>0</Paragraphs>
  <TotalTime>1</TotalTime>
  <ScaleCrop>false</ScaleCrop>
  <LinksUpToDate>false</LinksUpToDate>
  <CharactersWithSpaces>3240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2026-06-25T03:38:00Z</dcterms:created>
  <dc:creator>沉默</dc:creator>
  <cp:lastModifiedBy>八戒的弟弟</cp:lastModifiedBy>
  <dcterms:modified xsi:type="dcterms:W3CDTF">2026-06-26T06:31:39Z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2268801ADF9B4F4288769C4DE66BBDFC_11</vt:lpwstr>
  </property>
  <property fmtid="{D5CDD505-2E9C-101B-9397-08002B2CF9AE}" pid="4" name="KSOTemplateDocerSaveRecord">
    <vt:lpwstr>eyJoZGlkIjoiZWE2YjBhMjM3Nzk4MTMwZmE4NWRjOGY0YTVlODE3NzQiLCJ1c2VySWQiOiI0NjU0NjYwMTUifQ==</vt:lpwstr>
  </property>
</Properties>
</file>