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版本号：SXWZ2026ZB-ZRGH--10220260630001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2026年资源规划政务宣传项目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SXWZ2026ZB-ZRGH--102</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2026年资源规划政务宣传项目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SXWZ2026ZB-ZRGH--102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2026年资源规划政务宣传项目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本项目主要负责系统化开展资源规划领域政务公开及宣传工作，运维资源规划局政务公开平台包括运维门户网站、微信公众号及微博账号，并组织防灾减灾、自然资源体系政策法规宣传与测绘法宣传等线下活动。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采购包1（2026年资源规划政务宣传）：属于专门面向中小企业采购。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年度或2025年度经审计的财务审计报告（成立时间至提交响应文件截止时间不足一年的可提供成立后任意时段的资产负债表）或其开标前六个月内基本开户银行出具的资信证明及基本户证明材料；（以上两种形式的资料提供任何一种即可）</w:t>
      </w:r>
    </w:p>
    <w:p>
      <w:pPr>
        <w:pStyle w:val="null3"/>
      </w:pPr>
      <w:r>
        <w:rPr>
          <w:rFonts w:ascii="仿宋_GB2312" w:hAnsi="仿宋_GB2312" w:cs="仿宋_GB2312" w:eastAsia="仿宋_GB2312"/>
        </w:rPr>
        <w:t>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4、社保缴纳证明：提供2026年1月至今已缴存任意一个月社会保障资金缴存单据或社保机构开具的社会保险参保缴费证明，依法不需要缴纳社会保障资金的单位应提供相应证明文件；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8、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9、本项目不接受联合体投标，不允许分包：本项目不接受联合体投标，不允许分包。供应商提供《非联合体不分包投标声明》，视为独立投标，不分包。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029-61329106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029-88319689-8005/8003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采购包1：603,100.00元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代理服务费收费标准：参照国家计委颁发的《招标代理服务收费管理暂行办法》（计价格[2002]1980号）和国家发展改革委办公厅颁发的《关于招标代理服务收费有关问题的通知》（发改办价格[2003] 857号）的收费标准下浮20%，向采购代理机构一次付清代理服务费。中标单位按以下账户缴纳服务费（对公转账）： 户名:陕西万泽招标有限公司 账号:2110 1158 0000 0154 89 开户行:西安银行朝阳门支行 转账备注：自规-102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1.合同文本、合同附件、招标文件、投标文件。2.符合国家及行业标准。3.通过采购人组织的专家论证或评估会。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联系电话：029-88319689-8005</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本项目主要负责系统化开展资源规划领域政务公开及宣传工作，运维资源规划局政务公开平台包括运维门户网站、微信公众号及微博账号，并组织防灾减灾、自然资源体系政策法规宣传与测绘法宣传等线下活动。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603,100.00</w:t>
      </w:r>
    </w:p>
    <w:p>
      <w:pPr>
        <w:pStyle w:val="null3"/>
      </w:pPr>
      <w:r>
        <w:rPr>
          <w:rFonts w:ascii="仿宋_GB2312" w:hAnsi="仿宋_GB2312" w:cs="仿宋_GB2312" w:eastAsia="仿宋_GB2312"/>
        </w:rPr>
        <w:t>采购包最高限价（元）: 603,100.00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资源规划政务宣传项目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603,100.00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标的名称：资源规划政务宣传项目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40"/>
              <w:jc w:val="both"/>
            </w:pPr>
            <w:r>
              <w:rPr>
                <w:rFonts w:ascii="仿宋_GB2312" w:hAnsi="仿宋_GB2312" w:cs="仿宋_GB2312" w:eastAsia="仿宋_GB2312"/>
                <w:sz w:val="24"/>
              </w:rPr>
              <w:t>本项目主要负责系统化开展资源规划领域政务公开及宣传工作，运维资源规划局政务公开平台包括运维门户网站、微信公众号及微博账号，并</w:t>
            </w:r>
            <w:r>
              <w:rPr>
                <w:rFonts w:ascii="仿宋_GB2312" w:hAnsi="仿宋_GB2312" w:cs="仿宋_GB2312" w:eastAsia="仿宋_GB2312"/>
                <w:sz w:val="24"/>
              </w:rPr>
              <w:t>组织防灾减灾、自然资源体系政策法规宣传与测绘法宣传等线下活动。</w:t>
            </w:r>
          </w:p>
          <w:p>
            <w:pPr>
              <w:pStyle w:val="null3"/>
              <w:ind w:firstLine="442"/>
              <w:jc w:val="both"/>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ind w:firstLine="440"/>
              <w:jc w:val="both"/>
            </w:pPr>
            <w:r>
              <w:rPr>
                <w:rFonts w:ascii="仿宋_GB2312" w:hAnsi="仿宋_GB2312" w:cs="仿宋_GB2312" w:eastAsia="仿宋_GB2312"/>
                <w:sz w:val="24"/>
              </w:rPr>
              <w:t>1.</w:t>
            </w:r>
            <w:r>
              <w:rPr>
                <w:rFonts w:ascii="仿宋_GB2312" w:hAnsi="仿宋_GB2312" w:cs="仿宋_GB2312" w:eastAsia="仿宋_GB2312"/>
                <w:sz w:val="24"/>
              </w:rPr>
              <w:t>政务公开平台运维。完成门户网站、</w:t>
            </w:r>
            <w:r>
              <w:rPr>
                <w:rFonts w:ascii="仿宋_GB2312" w:hAnsi="仿宋_GB2312" w:cs="仿宋_GB2312" w:eastAsia="仿宋_GB2312"/>
                <w:sz w:val="24"/>
              </w:rPr>
              <w:t>“西安资源规划”微信公众号和微博号的图文美化和内容维护，确保信息及时更新。</w:t>
            </w:r>
          </w:p>
          <w:p>
            <w:pPr>
              <w:pStyle w:val="null3"/>
              <w:ind w:firstLine="440"/>
              <w:jc w:val="both"/>
            </w:pPr>
            <w:r>
              <w:rPr>
                <w:rFonts w:ascii="仿宋_GB2312" w:hAnsi="仿宋_GB2312" w:cs="仿宋_GB2312" w:eastAsia="仿宋_GB2312"/>
                <w:sz w:val="24"/>
              </w:rPr>
              <w:t>2.政务宣传稿件采编。围绕重点工作，完成各类平台的稿件采编、校对及发布；完成市局重要宣传活动、会议等跟拍工作，制作发布宣传内容。定期对市局各处室(单位)信息报送情况进行统计研判。</w:t>
            </w:r>
          </w:p>
          <w:p>
            <w:pPr>
              <w:pStyle w:val="null3"/>
              <w:ind w:firstLine="436"/>
              <w:jc w:val="both"/>
            </w:pPr>
            <w:r>
              <w:rPr>
                <w:rFonts w:ascii="仿宋_GB2312" w:hAnsi="仿宋_GB2312" w:cs="仿宋_GB2312" w:eastAsia="仿宋_GB2312"/>
                <w:sz w:val="24"/>
              </w:rPr>
              <w:t>3.政务信息公开及上报。完成市局各类信息公开工作，按照上级要求，定期上报政务信息、宣</w:t>
            </w:r>
            <w:r>
              <w:rPr>
                <w:rFonts w:ascii="仿宋_GB2312" w:hAnsi="仿宋_GB2312" w:cs="仿宋_GB2312" w:eastAsia="仿宋_GB2312"/>
                <w:sz w:val="24"/>
              </w:rPr>
              <w:t>传稿件等。</w:t>
            </w:r>
          </w:p>
          <w:p>
            <w:pPr>
              <w:pStyle w:val="null3"/>
              <w:ind w:firstLine="440"/>
              <w:jc w:val="both"/>
            </w:pPr>
            <w:r>
              <w:rPr>
                <w:rFonts w:ascii="仿宋_GB2312" w:hAnsi="仿宋_GB2312" w:cs="仿宋_GB2312" w:eastAsia="仿宋_GB2312"/>
                <w:sz w:val="24"/>
              </w:rPr>
              <w:t>4.线上多媒体宣传内容制作。搭建宣传素材库、跟拍宣传活动及市局各部门日常工作，留存宣</w:t>
            </w:r>
            <w:r>
              <w:rPr>
                <w:rFonts w:ascii="仿宋_GB2312" w:hAnsi="仿宋_GB2312" w:cs="仿宋_GB2312" w:eastAsia="仿宋_GB2312"/>
                <w:sz w:val="24"/>
              </w:rPr>
              <w:t>传素材并按照要求进行剪辑优化。完成重要政策文件</w:t>
            </w:r>
            <w:r>
              <w:rPr>
                <w:rFonts w:ascii="仿宋_GB2312" w:hAnsi="仿宋_GB2312" w:cs="仿宋_GB2312" w:eastAsia="仿宋_GB2312"/>
                <w:sz w:val="24"/>
              </w:rPr>
              <w:t>、重大专项活动的图解、宣传海报、</w:t>
            </w:r>
            <w:r>
              <w:rPr>
                <w:rFonts w:ascii="仿宋_GB2312" w:hAnsi="仿宋_GB2312" w:cs="仿宋_GB2312" w:eastAsia="仿宋_GB2312"/>
                <w:sz w:val="24"/>
              </w:rPr>
              <w:t>H5动画</w:t>
            </w:r>
            <w:r>
              <w:rPr>
                <w:rFonts w:ascii="仿宋_GB2312" w:hAnsi="仿宋_GB2312" w:cs="仿宋_GB2312" w:eastAsia="仿宋_GB2312"/>
                <w:sz w:val="24"/>
              </w:rPr>
              <w:t>等宣传品制作发布。</w:t>
            </w:r>
          </w:p>
          <w:p>
            <w:pPr>
              <w:pStyle w:val="null3"/>
              <w:ind w:firstLine="412"/>
              <w:jc w:val="both"/>
            </w:pPr>
            <w:r>
              <w:rPr>
                <w:rFonts w:ascii="仿宋_GB2312" w:hAnsi="仿宋_GB2312" w:cs="仿宋_GB2312" w:eastAsia="仿宋_GB2312"/>
                <w:sz w:val="24"/>
              </w:rPr>
              <w:t>5.宣传人员培训。协助市局开展形式多样的宣传培训，并配合做好其它宣</w:t>
            </w:r>
            <w:r>
              <w:rPr>
                <w:rFonts w:ascii="仿宋_GB2312" w:hAnsi="仿宋_GB2312" w:cs="仿宋_GB2312" w:eastAsia="仿宋_GB2312"/>
                <w:sz w:val="24"/>
              </w:rPr>
              <w:t>传工作。</w:t>
            </w:r>
          </w:p>
          <w:p>
            <w:pPr>
              <w:pStyle w:val="null3"/>
              <w:ind w:firstLine="440"/>
              <w:jc w:val="both"/>
            </w:pPr>
            <w:r>
              <w:rPr>
                <w:rFonts w:ascii="仿宋_GB2312" w:hAnsi="仿宋_GB2312" w:cs="仿宋_GB2312" w:eastAsia="仿宋_GB2312"/>
                <w:sz w:val="24"/>
              </w:rPr>
              <w:t>6.推送媒体报道及组织宣传合作。针对资源规划重点活动及工作，邀请媒体现场跟踪报道、推送刊发报道等。</w:t>
            </w:r>
          </w:p>
          <w:p>
            <w:pPr>
              <w:pStyle w:val="null3"/>
              <w:spacing w:before="150"/>
              <w:ind w:left="15" w:right="210" w:firstLine="430"/>
              <w:jc w:val="both"/>
            </w:pPr>
            <w:r>
              <w:rPr>
                <w:rFonts w:ascii="仿宋_GB2312" w:hAnsi="仿宋_GB2312" w:cs="仿宋_GB2312" w:eastAsia="仿宋_GB2312"/>
                <w:sz w:val="24"/>
              </w:rPr>
              <w:t>7.组织主题宣传活动。按照要求，组织筹备自然资源</w:t>
            </w:r>
            <w:r>
              <w:rPr>
                <w:rFonts w:ascii="仿宋_GB2312" w:hAnsi="仿宋_GB2312" w:cs="仿宋_GB2312" w:eastAsia="仿宋_GB2312"/>
                <w:sz w:val="24"/>
              </w:rPr>
              <w:t>体系线下活动，制作活动宣传品、布置</w:t>
            </w:r>
            <w:r>
              <w:rPr>
                <w:rFonts w:ascii="仿宋_GB2312" w:hAnsi="仿宋_GB2312" w:cs="仿宋_GB2312" w:eastAsia="仿宋_GB2312"/>
                <w:sz w:val="24"/>
              </w:rPr>
              <w:t>宣传场地、开展室外现场宣传。</w:t>
            </w:r>
          </w:p>
          <w:p>
            <w:pPr>
              <w:pStyle w:val="null3"/>
              <w:spacing w:before="75"/>
              <w:ind w:left="15" w:right="60" w:firstLine="430"/>
              <w:jc w:val="both"/>
            </w:pPr>
            <w:r>
              <w:rPr>
                <w:rFonts w:ascii="仿宋_GB2312" w:hAnsi="仿宋_GB2312" w:cs="仿宋_GB2312" w:eastAsia="仿宋_GB2312"/>
                <w:sz w:val="24"/>
                <w:b/>
              </w:rPr>
              <w:t>三、技术要求</w:t>
            </w:r>
          </w:p>
          <w:p>
            <w:pPr>
              <w:pStyle w:val="null3"/>
              <w:spacing w:before="75"/>
              <w:ind w:right="120" w:firstLine="419"/>
              <w:jc w:val="both"/>
            </w:pPr>
            <w:r>
              <w:rPr>
                <w:rFonts w:ascii="仿宋_GB2312" w:hAnsi="仿宋_GB2312" w:cs="仿宋_GB2312" w:eastAsia="仿宋_GB2312"/>
                <w:sz w:val="24"/>
              </w:rPr>
              <w:t>1.全年发布政务信息数不少于200篇，重点领域信息更新条目不少于300条，完成年度政务公开任务考核；</w:t>
            </w:r>
          </w:p>
          <w:p>
            <w:pPr>
              <w:pStyle w:val="null3"/>
              <w:spacing w:before="75"/>
              <w:ind w:right="120" w:firstLine="419"/>
              <w:jc w:val="both"/>
            </w:pPr>
            <w:r>
              <w:rPr>
                <w:rFonts w:ascii="仿宋_GB2312" w:hAnsi="仿宋_GB2312" w:cs="仿宋_GB2312" w:eastAsia="仿宋_GB2312"/>
                <w:sz w:val="24"/>
              </w:rPr>
              <w:t>2.微信公众号、微博平均关注度不低于5万；</w:t>
            </w:r>
          </w:p>
          <w:p>
            <w:pPr>
              <w:pStyle w:val="null3"/>
              <w:spacing w:before="75"/>
              <w:ind w:right="120" w:firstLine="419"/>
              <w:jc w:val="both"/>
            </w:pPr>
            <w:r>
              <w:rPr>
                <w:rFonts w:ascii="仿宋_GB2312" w:hAnsi="仿宋_GB2312" w:cs="仿宋_GB2312" w:eastAsia="仿宋_GB2312"/>
                <w:sz w:val="24"/>
              </w:rPr>
              <w:t>3.采编原创稿件不少于100篇，在市级媒体刊发稿件不少于50篇，中省级媒体刊发类稿件不少于10篇；</w:t>
            </w:r>
          </w:p>
          <w:p>
            <w:pPr>
              <w:pStyle w:val="null3"/>
              <w:spacing w:before="75"/>
              <w:ind w:right="120" w:firstLine="419"/>
              <w:jc w:val="both"/>
            </w:pPr>
            <w:r>
              <w:rPr>
                <w:rFonts w:ascii="仿宋_GB2312" w:hAnsi="仿宋_GB2312" w:cs="仿宋_GB2312" w:eastAsia="仿宋_GB2312"/>
                <w:sz w:val="24"/>
              </w:rPr>
              <w:t>4.制作发布长图图解、海报等宣传品不少于20个；</w:t>
            </w:r>
          </w:p>
          <w:p>
            <w:pPr>
              <w:pStyle w:val="null3"/>
              <w:spacing w:before="75"/>
              <w:ind w:right="120" w:firstLine="419"/>
              <w:jc w:val="both"/>
            </w:pPr>
            <w:r>
              <w:rPr>
                <w:rFonts w:ascii="仿宋_GB2312" w:hAnsi="仿宋_GB2312" w:cs="仿宋_GB2312" w:eastAsia="仿宋_GB2312"/>
                <w:sz w:val="24"/>
              </w:rPr>
              <w:t>5.拍摄留存视频素材不少于50个，制作音视频宣传品不少于30分钟；</w:t>
            </w:r>
          </w:p>
          <w:p>
            <w:pPr>
              <w:pStyle w:val="null3"/>
              <w:spacing w:before="75"/>
              <w:ind w:right="120" w:firstLine="419"/>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开展主题宣传线下活动不少于</w:t>
            </w:r>
            <w:r>
              <w:rPr>
                <w:rFonts w:ascii="仿宋_GB2312" w:hAnsi="仿宋_GB2312" w:cs="仿宋_GB2312" w:eastAsia="仿宋_GB2312"/>
                <w:sz w:val="24"/>
              </w:rPr>
              <w:t>3次</w:t>
            </w:r>
            <w:r>
              <w:rPr>
                <w:rFonts w:ascii="仿宋_GB2312" w:hAnsi="仿宋_GB2312" w:cs="仿宋_GB2312" w:eastAsia="仿宋_GB2312"/>
                <w:sz w:val="24"/>
              </w:rPr>
              <w:t>(包含置备宣传品、布置场地等)，开展宣传培训不少于1次。</w:t>
            </w:r>
          </w:p>
          <w:p>
            <w:pPr>
              <w:pStyle w:val="null3"/>
              <w:spacing w:before="75"/>
              <w:ind w:right="120" w:firstLine="419"/>
              <w:jc w:val="both"/>
            </w:pPr>
            <w:r>
              <w:rPr>
                <w:rFonts w:ascii="仿宋_GB2312" w:hAnsi="仿宋_GB2312" w:cs="仿宋_GB2312" w:eastAsia="仿宋_GB2312"/>
                <w:sz w:val="24"/>
                <w:b/>
              </w:rPr>
              <w:t>四、服务要求</w:t>
            </w:r>
          </w:p>
          <w:p>
            <w:pPr>
              <w:pStyle w:val="null3"/>
              <w:spacing w:before="75"/>
              <w:ind w:right="120" w:firstLine="419"/>
              <w:jc w:val="both"/>
            </w:pPr>
            <w:r>
              <w:rPr>
                <w:rFonts w:ascii="仿宋_GB2312" w:hAnsi="仿宋_GB2312" w:cs="仿宋_GB2312" w:eastAsia="仿宋_GB2312"/>
                <w:sz w:val="24"/>
              </w:rPr>
              <w:t>1.服务商应设立项目服务团队，服务团队应熟悉国家和省市资源规划领域相关政策，固定人员</w:t>
            </w:r>
            <w:r>
              <w:rPr>
                <w:rFonts w:ascii="仿宋_GB2312" w:hAnsi="仿宋_GB2312" w:cs="仿宋_GB2312" w:eastAsia="仿宋_GB2312"/>
                <w:sz w:val="24"/>
              </w:rPr>
              <w:t>不少于</w:t>
            </w:r>
            <w:r>
              <w:rPr>
                <w:rFonts w:ascii="仿宋_GB2312" w:hAnsi="仿宋_GB2312" w:cs="仿宋_GB2312" w:eastAsia="仿宋_GB2312"/>
                <w:sz w:val="24"/>
              </w:rPr>
              <w:t>4人，包括采编人员、剪辑人员、平台运维人员等，且能提供不少于</w:t>
            </w:r>
            <w:r>
              <w:rPr>
                <w:rFonts w:ascii="仿宋_GB2312" w:hAnsi="仿宋_GB2312" w:cs="仿宋_GB2312" w:eastAsia="仿宋_GB2312"/>
                <w:sz w:val="24"/>
              </w:rPr>
              <w:t>2人的驻局服务。</w:t>
            </w:r>
          </w:p>
          <w:p>
            <w:pPr>
              <w:pStyle w:val="null3"/>
              <w:spacing w:before="75"/>
              <w:ind w:right="120" w:firstLine="419"/>
              <w:jc w:val="both"/>
            </w:pPr>
            <w:r>
              <w:rPr>
                <w:rFonts w:ascii="仿宋_GB2312" w:hAnsi="仿宋_GB2312" w:cs="仿宋_GB2312" w:eastAsia="仿宋_GB2312"/>
                <w:sz w:val="24"/>
              </w:rPr>
              <w:t>2.服务商应配备视频拍摄、剪辑、制作等专业设备及能力，提供设备清单，设备配置完全满足项目需求。</w:t>
            </w:r>
          </w:p>
          <w:p>
            <w:pPr>
              <w:pStyle w:val="null3"/>
              <w:spacing w:before="75"/>
              <w:ind w:right="120" w:firstLine="419"/>
              <w:jc w:val="both"/>
            </w:pPr>
            <w:r>
              <w:rPr>
                <w:rFonts w:ascii="仿宋_GB2312" w:hAnsi="仿宋_GB2312" w:cs="仿宋_GB2312" w:eastAsia="仿宋_GB2312"/>
                <w:sz w:val="24"/>
              </w:rPr>
              <w:t>3.服务商应具备组织线下宣传活动的能力，包括不限于提供宣传品定制、提供音响设备等。</w:t>
            </w:r>
          </w:p>
          <w:p>
            <w:pPr>
              <w:pStyle w:val="null3"/>
              <w:spacing w:before="75"/>
              <w:ind w:right="120" w:firstLine="419"/>
              <w:jc w:val="both"/>
            </w:pPr>
            <w:r>
              <w:rPr>
                <w:rFonts w:ascii="仿宋_GB2312" w:hAnsi="仿宋_GB2312" w:cs="仿宋_GB2312" w:eastAsia="仿宋_GB2312"/>
                <w:sz w:val="24"/>
              </w:rPr>
              <w:t>4.服务商在合同执行期间，应按照工作需要，协助策划宣传方案、设立宣传议题，</w:t>
            </w:r>
            <w:r>
              <w:rPr>
                <w:rFonts w:ascii="仿宋_GB2312" w:hAnsi="仿宋_GB2312" w:cs="仿宋_GB2312" w:eastAsia="仿宋_GB2312"/>
                <w:sz w:val="24"/>
              </w:rPr>
              <w:t>提供</w:t>
            </w:r>
            <w:r>
              <w:rPr>
                <w:rFonts w:ascii="仿宋_GB2312" w:hAnsi="仿宋_GB2312" w:cs="仿宋_GB2312" w:eastAsia="仿宋_GB2312"/>
                <w:sz w:val="24"/>
              </w:rPr>
              <w:t>宣传培训等，确保工作成果正确使用。</w:t>
            </w:r>
          </w:p>
          <w:p>
            <w:pPr>
              <w:pStyle w:val="null3"/>
              <w:spacing w:before="75"/>
              <w:ind w:right="120" w:firstLine="419"/>
              <w:jc w:val="both"/>
            </w:pPr>
            <w:r>
              <w:rPr>
                <w:rFonts w:ascii="仿宋_GB2312" w:hAnsi="仿宋_GB2312" w:cs="仿宋_GB2312" w:eastAsia="仿宋_GB2312"/>
                <w:sz w:val="24"/>
                <w:b/>
              </w:rPr>
              <w:t>五、其他</w:t>
            </w:r>
          </w:p>
          <w:p>
            <w:pPr>
              <w:pStyle w:val="null3"/>
              <w:spacing w:before="75"/>
              <w:ind w:right="120" w:firstLine="419"/>
              <w:jc w:val="both"/>
            </w:pPr>
            <w:r>
              <w:rPr>
                <w:rFonts w:ascii="仿宋_GB2312" w:hAnsi="仿宋_GB2312" w:cs="仿宋_GB2312" w:eastAsia="仿宋_GB2312"/>
                <w:sz w:val="24"/>
              </w:rPr>
              <w:t>（一）</w:t>
            </w:r>
            <w:r>
              <w:rPr>
                <w:rFonts w:ascii="仿宋_GB2312" w:hAnsi="仿宋_GB2312" w:cs="仿宋_GB2312" w:eastAsia="仿宋_GB2312"/>
                <w:sz w:val="24"/>
              </w:rPr>
              <w:t>质量验收标准或规范</w:t>
            </w:r>
            <w:r>
              <w:rPr>
                <w:rFonts w:ascii="仿宋_GB2312" w:hAnsi="仿宋_GB2312" w:cs="仿宋_GB2312" w:eastAsia="仿宋_GB2312"/>
                <w:sz w:val="24"/>
              </w:rPr>
              <w:t>：</w:t>
            </w:r>
          </w:p>
          <w:p>
            <w:pPr>
              <w:pStyle w:val="null3"/>
              <w:spacing w:before="75"/>
              <w:ind w:right="120" w:firstLine="419"/>
              <w:jc w:val="both"/>
            </w:pPr>
            <w:r>
              <w:rPr>
                <w:rFonts w:ascii="仿宋_GB2312" w:hAnsi="仿宋_GB2312" w:cs="仿宋_GB2312" w:eastAsia="仿宋_GB2312"/>
                <w:sz w:val="24"/>
              </w:rPr>
              <w:t>成果数量及质量符合工作要求，并通过采购人组织的专家论证或评估会。</w:t>
            </w:r>
          </w:p>
          <w:p>
            <w:pPr>
              <w:pStyle w:val="null3"/>
              <w:spacing w:before="75"/>
              <w:ind w:right="120" w:firstLine="419"/>
              <w:jc w:val="both"/>
            </w:pPr>
            <w:r>
              <w:rPr>
                <w:rFonts w:ascii="仿宋_GB2312" w:hAnsi="仿宋_GB2312" w:cs="仿宋_GB2312" w:eastAsia="仿宋_GB2312"/>
                <w:sz w:val="24"/>
              </w:rPr>
              <w:t>（二）进度要求：</w:t>
            </w:r>
          </w:p>
          <w:p>
            <w:pPr>
              <w:pStyle w:val="null3"/>
              <w:ind w:firstLine="480"/>
              <w:jc w:val="both"/>
            </w:pPr>
            <w:r>
              <w:rPr>
                <w:rFonts w:ascii="仿宋_GB2312" w:hAnsi="仿宋_GB2312" w:cs="仿宋_GB2312" w:eastAsia="仿宋_GB2312"/>
                <w:sz w:val="24"/>
              </w:rPr>
              <w:t>供应商须在</w:t>
            </w:r>
            <w:r>
              <w:rPr>
                <w:rFonts w:ascii="仿宋_GB2312" w:hAnsi="仿宋_GB2312" w:cs="仿宋_GB2312" w:eastAsia="仿宋_GB2312"/>
                <w:sz w:val="24"/>
              </w:rPr>
              <w:t>2026年11月30日前完成全部线下活动宣传并实现阶段工作目标，由采购人组织阶段验收；合同约定的服务期届满时，供应商应完成所有服务内容，由采购人组织总体验收。</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一年，自合同签订之日起算。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详见服务合同。通过采购人组织的专家论证或评估会。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进度款，阶段验收合格后，达到付款条件起7个工作日内，支付合同总金额的40.0%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进度款，所有服务内容完成并验收合格后，达到付款条件起7个工作日内，支付合同总金额的30.0%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（一）本合同在履行过程中发生的争议，由甲、乙双方当事人协商解决，协商不成的按下列第2种方式解决： 1、提交西安仲裁委员会仲裁； 2、依法向甲方所在地人民法院起诉。 （二）本条款为独立条款，本合同的无效、变更、解除和终止均不影响本条款的效力。</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1、供应商需要在线提交所有通过电子化交易平台实施的政府采购项目的响应文件，同时，线下提交响应正本壹份、副本壹份。若电子响应文件与纸质响应文件不一致的，以线上提交的电子响应文件为准。 2、线下提交响应文件地点：西安市高新区唐延路旺座现代城C座25楼2502室，联系电话：029-88319689转8003/8005；邮箱：sxwzzb04@163.com。 3、供应商登记免费领取采购文件的，如不参与项目投标，应在递交投标（或响应）文件截止时间一日前以书面形式告知采购代理机构（自拟弃标函，发送至以上邮箱）。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审计报告（成立时间至提交响应文件截止时间不足一年的可提供成立后任意时段的资产负债表）或其开标前六个月内基本开户银行出具的资信证明及基本户证明材料；（以上两种形式的资料提供任何一种即可）</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响应文件的签署及盖章</w:t>
            </w:r>
          </w:p>
        </w:tc>
        <w:tc>
          <w:tcPr>
            <w:tcW w:type="dxa" w:w="3322"/>
          </w:tcPr>
          <w:p>
            <w:pPr>
              <w:pStyle w:val="null3"/>
            </w:pPr>
            <w:r>
              <w:rPr>
                <w:rFonts w:ascii="仿宋_GB2312" w:hAnsi="仿宋_GB2312" w:cs="仿宋_GB2312" w:eastAsia="仿宋_GB2312"/>
              </w:rPr>
              <w:t>响应文件按磋商文件要求签署及盖章</w:t>
            </w:r>
          </w:p>
        </w:tc>
        <w:tc>
          <w:tcPr>
            <w:tcW w:type="dxa" w:w="1661"/>
          </w:tcPr>
          <w:p>
            <w:pPr>
              <w:pStyle w:val="null3"/>
            </w:pPr>
            <w:r>
              <w:rPr>
                <w:rFonts w:ascii="仿宋_GB2312" w:hAnsi="仿宋_GB2312" w:cs="仿宋_GB2312" w:eastAsia="仿宋_GB2312"/>
              </w:rPr>
              <w:t>响应文件封面 服务方案及其他资料 中小企业声明函 残疾人福利性单位声明函 商务应答表 资格证明材料 服务内容及服务要求应答表 标的清单 报价表 供应商承诺书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服务方案及其他资料 中小企业声明函 残疾人福利性单位声明函 商务应答表 资格证明材料 服务内容及服务要求应答表 标的清单 报价表 供应商承诺书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满足本磋商文件中的实质性条款（服务期、服务地点、付款方式）要求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服务方案及其他资料 中小企业声明函 残疾人福利性单位声明函 商务应答表 资格证明材料 服务内容及服务要求应答表 标的清单 报价表 供应商承诺书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供应商对本项目的理解程度、背景意义和重难点分析。 1、对工作背景理解深入，重难点分析理解准确、全面、透彻，对本项目工作的顺利开展有指导性意义得4分； 2、对工作背景理解较为深入，分析理解基本准确，对本项目开展有较有效的指导意义得3分； 3、对工作背景理解简单，无指导意义得1分； 4、分析理解有重大偏离或未提供相关内容不得分。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供应商针对本项目的服务方案，包括①平台维护方案；②宣传内容制作及发布审核流程；③线上推广方案；④线下活动组织安排。 一、评审标准 以上内容专门针对本项目编制，切合本项目实际情况及实施要求，内容与要点相符、每个要点均有展开详细的阐述且能够适用于本项目的计16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供应商针对本项目的质量保障措施，包括①对宣传成效把控跟踪；②应急方案；③服务质量保障措施。 一、评审标准 以上内容专门针对本项目编制，切合本项目实际情况及实施要求，内容与要点相符、每个要点均有展开详细的阐述且能够适用于本项目的计6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进度计划保障方案</w:t>
            </w:r>
          </w:p>
        </w:tc>
        <w:tc>
          <w:tcPr>
            <w:tcW w:type="dxa" w:w="2492"/>
          </w:tcPr>
          <w:p>
            <w:pPr>
              <w:pStyle w:val="null3"/>
            </w:pPr>
            <w:r>
              <w:rPr>
                <w:rFonts w:ascii="仿宋_GB2312" w:hAnsi="仿宋_GB2312" w:cs="仿宋_GB2312" w:eastAsia="仿宋_GB2312"/>
              </w:rPr>
              <w:t>供应商针对本项目的进度计划保障方案，包括①项目服务期间的时间节点安排；②各阶段的资源投入实施计划及进度保障措施。 一、评审标准 以上内容专门针对本项目编制，切合本项目实际情况及实施要求，与要点相符、每个要点均有展开详细的阐述且能够适用于本项目的计8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项目保障能力</w:t>
            </w:r>
          </w:p>
        </w:tc>
        <w:tc>
          <w:tcPr>
            <w:tcW w:type="dxa" w:w="2492"/>
          </w:tcPr>
          <w:p>
            <w:pPr>
              <w:pStyle w:val="null3"/>
            </w:pPr>
            <w:r>
              <w:rPr>
                <w:rFonts w:ascii="仿宋_GB2312" w:hAnsi="仿宋_GB2312" w:cs="仿宋_GB2312" w:eastAsia="仿宋_GB2312"/>
              </w:rPr>
              <w:t>供应商针对本项目的项目保障能力，包括①团队人员职责及管理制度；②人员保密措施。 一、评审标准 以上内容专门针对本项目编制，切合本项目实际情况及实施要求，每个要点均有展开详细的阐述且团队配置合理、工作经验丰富计6分；评审内容每缺一项扣3分，扣完为止；评审内容有缺陷的每任意一项缺陷扣1分，扣完为止。（缺陷是指：内容不完整或缺少关键点、逻辑混乱、前后表述矛盾、非专门针对本项目或不适用本项目特性、套用其他项目内容、逻辑漏洞、职责划分不清晰、制度不合理、设备配置简单、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供应商针对本项目的服务团队，除采购需求中要求的人员外，每额外增加1名符合要求的服务人员，得2分，本项最高得6分。 人员要求： 1.符合宣传项目需要，为新闻编辑、摄影摄像、媒体运营、审核校对等相关岗位。 2.具有新闻传播学类、戏剧与影视学类、设计学类等相关专业本科及以上学历； 3.持有国家职业资格证书（如编辑记者、摄影师、剪辑师、全媒体运营师等）或行业内认可的专业培训证书。 注：需提供人员身份证、学历证书、资质证书等并加盖公章。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供应商针对本项目投入的设施设备。配备专业单反相机、摄像摄影机、专业航拍设备、稳定器、监视器、专业拍摄补光设备等设施设备的计5分；只配备专业单反相机、摄像摄影机、稳定器计3分；只配备专业单反相机、摄像摄影机的计1分。 注：须提供设备购买发票或租期覆盖本项目服务期的正规租赁合同，未提供不计分。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媒体合作</w:t>
            </w:r>
          </w:p>
        </w:tc>
        <w:tc>
          <w:tcPr>
            <w:tcW w:type="dxa" w:w="2492"/>
          </w:tcPr>
          <w:p>
            <w:pPr>
              <w:pStyle w:val="null3"/>
            </w:pPr>
            <w:r>
              <w:rPr>
                <w:rFonts w:ascii="仿宋_GB2312" w:hAnsi="仿宋_GB2312" w:cs="仿宋_GB2312" w:eastAsia="仿宋_GB2312"/>
              </w:rPr>
              <w:t>供应商与主流媒体有宣传合作，提供合作协议或授权，每提供一份计2分，满分4分。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供应商针对本项目的服务响应，包括①与采购人配合的响应；②项目任务实施进度及任务响应效率；③项目服务时限内团队稳定；④驻场人员在期限内到位情况；⑤不能完全履行承诺时愿意接受相关处罚。 上述内容每提供一项计2分，满分10分。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供应商提供自2024年1月1日至今（以合同签订时间为准）类似项目业绩，响应文件中附有其业绩证明材料，业绩以合同为依据，每提供一个计2分，满分10分。 （注：提供合同复印件加盖供应商公章）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资质水平</w:t>
            </w:r>
          </w:p>
        </w:tc>
        <w:tc>
          <w:tcPr>
            <w:tcW w:type="dxa" w:w="2492"/>
          </w:tcPr>
          <w:p>
            <w:pPr>
              <w:pStyle w:val="null3"/>
            </w:pPr>
            <w:r>
              <w:rPr>
                <w:rFonts w:ascii="仿宋_GB2312" w:hAnsi="仿宋_GB2312" w:cs="仿宋_GB2312" w:eastAsia="仿宋_GB2312"/>
              </w:rPr>
              <w:t>供应商具备法定互联网新闻信息服务从业资质，持有有效的《互联网新闻信息服务许可证》计5分，没有不得分。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详见附件：服务方案及其他资料</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