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0021D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6" w:name="_GoBack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合同文本</w:t>
      </w:r>
      <w:bookmarkEnd w:id="6"/>
    </w:p>
    <w:p w14:paraId="4B53FC7D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（本格式合同条款供双方签订合同参考，采购人可根据项目的实际情况增减条款和内容）</w:t>
      </w:r>
    </w:p>
    <w:p w14:paraId="16D307D5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48"/>
          <w:szCs w:val="48"/>
          <w:u w:val="none"/>
          <w:shd w:val="clear" w:color="auto" w:fill="auto"/>
          <w:lang w:val="en-US" w:eastAsia="zh-CN" w:bidi="en-US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48"/>
          <w:szCs w:val="48"/>
          <w:u w:val="none"/>
          <w:shd w:val="clear" w:color="auto" w:fill="auto"/>
          <w:lang w:val="en-US" w:eastAsia="zh-CN" w:bidi="en-US"/>
        </w:rPr>
        <w:br w:type="page"/>
      </w:r>
    </w:p>
    <w:p w14:paraId="165E0BF3">
      <w:pPr>
        <w:keepNext/>
        <w:keepLines/>
        <w:spacing w:after="120" w:line="360" w:lineRule="auto"/>
        <w:ind w:left="620" w:firstLine="1160" w:firstLineChars="200"/>
        <w:jc w:val="center"/>
        <w:outlineLvl w:val="0"/>
        <w:rPr>
          <w:rFonts w:hint="eastAsia" w:ascii="仿宋" w:hAnsi="仿宋" w:eastAsia="仿宋" w:cs="仿宋"/>
          <w:color w:val="auto"/>
          <w:kern w:val="2"/>
          <w:sz w:val="58"/>
          <w:szCs w:val="58"/>
          <w:highlight w:val="none"/>
          <w:lang w:bidi="en-US"/>
        </w:rPr>
      </w:pPr>
    </w:p>
    <w:p w14:paraId="13131C71">
      <w:pPr>
        <w:keepNext/>
        <w:keepLines/>
        <w:spacing w:after="120" w:line="360" w:lineRule="auto"/>
        <w:ind w:firstLine="0" w:firstLineChars="0"/>
        <w:jc w:val="center"/>
        <w:outlineLvl w:val="0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52"/>
          <w:szCs w:val="52"/>
          <w:u w:val="none"/>
          <w:shd w:val="clear" w:color="auto" w:fill="auto"/>
          <w:lang w:val="en-US" w:eastAsia="zh-Hans" w:bidi="zh-TW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52"/>
          <w:szCs w:val="52"/>
          <w:u w:val="none"/>
          <w:shd w:val="clear" w:color="auto" w:fill="auto"/>
          <w:lang w:val="en-US" w:eastAsia="zh-CN" w:bidi="zh-TW"/>
        </w:rPr>
        <w:t>2026年资源规划政务宣传项目</w:t>
      </w:r>
    </w:p>
    <w:p w14:paraId="646B8D75">
      <w:pPr>
        <w:keepNext/>
        <w:keepLines/>
        <w:spacing w:after="120" w:line="360" w:lineRule="auto"/>
        <w:ind w:firstLine="0" w:firstLineChars="0"/>
        <w:jc w:val="center"/>
        <w:outlineLvl w:val="0"/>
        <w:rPr>
          <w:rFonts w:hint="eastAsia" w:ascii="仿宋" w:hAnsi="仿宋" w:eastAsia="仿宋" w:cs="仿宋"/>
          <w:b/>
          <w:bCs/>
          <w:color w:val="auto"/>
          <w:kern w:val="2"/>
          <w:sz w:val="44"/>
          <w:szCs w:val="44"/>
          <w:highlight w:val="none"/>
          <w:lang w:val="zh-TW" w:eastAsia="zh-TW" w:bidi="zh-TW"/>
        </w:rPr>
      </w:pPr>
    </w:p>
    <w:p w14:paraId="51A5B7D3">
      <w:pPr>
        <w:keepNext/>
        <w:keepLines/>
        <w:spacing w:after="120" w:line="360" w:lineRule="auto"/>
        <w:ind w:firstLine="0" w:firstLineChars="0"/>
        <w:jc w:val="both"/>
        <w:outlineLvl w:val="0"/>
        <w:rPr>
          <w:rFonts w:hint="eastAsia" w:ascii="仿宋" w:hAnsi="仿宋" w:eastAsia="仿宋" w:cs="仿宋"/>
          <w:b/>
          <w:bCs/>
          <w:color w:val="auto"/>
          <w:kern w:val="2"/>
          <w:sz w:val="44"/>
          <w:szCs w:val="44"/>
          <w:highlight w:val="none"/>
          <w:lang w:val="zh-TW" w:eastAsia="zh-TW" w:bidi="zh-TW"/>
        </w:rPr>
      </w:pPr>
    </w:p>
    <w:p w14:paraId="0D047024">
      <w:pPr>
        <w:keepNext/>
        <w:keepLines/>
        <w:spacing w:after="120" w:line="360" w:lineRule="auto"/>
        <w:ind w:firstLine="0" w:firstLineChars="0"/>
        <w:jc w:val="center"/>
        <w:outlineLvl w:val="0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48"/>
          <w:szCs w:val="48"/>
          <w:u w:val="none"/>
          <w:shd w:val="clear" w:color="auto" w:fill="auto"/>
          <w:lang w:val="zh-TW" w:eastAsia="zh-TW" w:bidi="zh-TW"/>
        </w:rPr>
      </w:pPr>
      <w:bookmarkStart w:id="0" w:name="_Toc14926"/>
      <w:r>
        <w:rPr>
          <w:rFonts w:hint="eastAsia" w:ascii="仿宋" w:hAnsi="仿宋" w:eastAsia="仿宋" w:cs="仿宋"/>
          <w:b/>
          <w:bCs/>
          <w:color w:val="auto"/>
          <w:kern w:val="2"/>
          <w:sz w:val="48"/>
          <w:szCs w:val="48"/>
          <w:highlight w:val="none"/>
          <w:lang w:val="zh-TW" w:eastAsia="zh-TW" w:bidi="zh-TW"/>
        </w:rPr>
        <w:t>服务合同</w:t>
      </w:r>
      <w:bookmarkEnd w:id="0"/>
    </w:p>
    <w:p w14:paraId="4452D8EA">
      <w:pPr>
        <w:keepNext w:val="0"/>
        <w:keepLines w:val="0"/>
        <w:widowControl w:val="0"/>
        <w:shd w:val="clear" w:color="auto" w:fill="auto"/>
        <w:bidi w:val="0"/>
        <w:spacing w:before="0" w:after="120" w:line="360" w:lineRule="auto"/>
        <w:ind w:left="0" w:right="0" w:firstLine="2400" w:firstLineChars="800"/>
        <w:jc w:val="both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0"/>
          <w:szCs w:val="30"/>
          <w:u w:val="none"/>
          <w:shd w:val="clear" w:color="auto" w:fill="auto"/>
          <w:lang w:val="zh-TW" w:eastAsia="zh-TW" w:bidi="zh-TW"/>
        </w:rPr>
      </w:pPr>
    </w:p>
    <w:p w14:paraId="26940724">
      <w:pPr>
        <w:keepNext w:val="0"/>
        <w:keepLines w:val="0"/>
        <w:widowControl w:val="0"/>
        <w:shd w:val="clear" w:color="auto" w:fill="auto"/>
        <w:bidi w:val="0"/>
        <w:spacing w:before="0" w:after="120" w:line="360" w:lineRule="auto"/>
        <w:ind w:right="0" w:firstLine="1800" w:firstLineChars="600"/>
        <w:jc w:val="both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0"/>
          <w:szCs w:val="30"/>
          <w:u w:val="none"/>
          <w:shd w:val="clear" w:color="auto" w:fill="auto"/>
          <w:lang w:val="en-US" w:eastAsia="en-US" w:bidi="zh-TW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0"/>
          <w:szCs w:val="30"/>
          <w:u w:val="none"/>
          <w:shd w:val="clear" w:color="auto" w:fill="auto"/>
          <w:lang w:val="zh-TW" w:eastAsia="zh-TW" w:bidi="zh-TW"/>
        </w:rPr>
        <w:t>（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0"/>
          <w:szCs w:val="30"/>
          <w:u w:val="none"/>
          <w:shd w:val="clear" w:color="auto" w:fill="auto"/>
          <w:lang w:val="en-US" w:eastAsia="zh-CN" w:bidi="zh-TW"/>
        </w:rPr>
        <w:t>项目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0"/>
          <w:szCs w:val="30"/>
          <w:u w:val="none"/>
          <w:shd w:val="clear" w:color="auto" w:fill="auto"/>
          <w:lang w:val="zh-TW" w:eastAsia="zh-TW" w:bidi="zh-TW"/>
        </w:rPr>
        <w:t>编号：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0"/>
          <w:szCs w:val="30"/>
          <w:u w:val="none"/>
          <w:shd w:val="clear" w:color="auto" w:fill="auto"/>
          <w:lang w:val="en-US" w:eastAsia="zh-CN" w:bidi="zh-TW"/>
        </w:rPr>
        <w:t>SXWZ2026ZB-ZRGH-102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0"/>
          <w:szCs w:val="30"/>
          <w:u w:val="none"/>
          <w:shd w:val="clear" w:color="auto" w:fill="auto"/>
          <w:lang w:val="en-US" w:eastAsia="en-US" w:bidi="zh-TW"/>
        </w:rPr>
        <w:t>）</w:t>
      </w:r>
    </w:p>
    <w:p w14:paraId="0CD1279D">
      <w:pPr>
        <w:keepNext w:val="0"/>
        <w:keepLines w:val="0"/>
        <w:widowControl w:val="0"/>
        <w:shd w:val="clear" w:color="auto" w:fill="auto"/>
        <w:bidi w:val="0"/>
        <w:spacing w:before="0" w:after="460" w:line="360" w:lineRule="auto"/>
        <w:ind w:left="1360" w:right="0" w:firstLine="20"/>
        <w:jc w:val="left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0"/>
          <w:szCs w:val="30"/>
          <w:u w:val="none"/>
          <w:shd w:val="clear" w:color="auto" w:fill="auto"/>
          <w:lang w:val="zh-TW" w:eastAsia="zh-TW" w:bidi="zh-TW"/>
        </w:rPr>
      </w:pPr>
    </w:p>
    <w:p w14:paraId="666F2E40">
      <w:pPr>
        <w:keepNext w:val="0"/>
        <w:keepLines w:val="0"/>
        <w:widowControl w:val="0"/>
        <w:shd w:val="clear" w:color="auto" w:fill="auto"/>
        <w:bidi w:val="0"/>
        <w:spacing w:before="0" w:after="460" w:line="360" w:lineRule="auto"/>
        <w:ind w:left="1360" w:right="0" w:firstLine="20"/>
        <w:jc w:val="left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0"/>
          <w:szCs w:val="30"/>
          <w:u w:val="none"/>
          <w:shd w:val="clear" w:color="auto" w:fill="auto"/>
          <w:lang w:val="zh-TW" w:eastAsia="zh-TW" w:bidi="zh-TW"/>
        </w:rPr>
      </w:pPr>
    </w:p>
    <w:p w14:paraId="2C067569">
      <w:pPr>
        <w:keepNext w:val="0"/>
        <w:keepLines w:val="0"/>
        <w:widowControl w:val="0"/>
        <w:shd w:val="clear" w:color="auto" w:fill="auto"/>
        <w:bidi w:val="0"/>
        <w:spacing w:before="0" w:after="460" w:line="360" w:lineRule="auto"/>
        <w:ind w:left="1360" w:right="0" w:firstLine="20"/>
        <w:jc w:val="left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0"/>
          <w:szCs w:val="30"/>
          <w:u w:val="none"/>
          <w:shd w:val="clear" w:color="auto" w:fill="auto"/>
          <w:lang w:val="zh-TW" w:eastAsia="zh-TW" w:bidi="zh-TW"/>
        </w:rPr>
      </w:pPr>
    </w:p>
    <w:p w14:paraId="3FDDBA5B">
      <w:pPr>
        <w:spacing w:after="480" w:line="360" w:lineRule="auto"/>
        <w:ind w:left="200" w:firstLine="621" w:firstLineChars="207"/>
        <w:jc w:val="left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bidi="zh-TW"/>
        </w:rPr>
      </w:pPr>
      <w:bookmarkStart w:id="1" w:name="bookmark5"/>
      <w:bookmarkStart w:id="2" w:name="bookmark4"/>
      <w:bookmarkStart w:id="3" w:name="bookmark3"/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zh-TW" w:eastAsia="zh-TW" w:bidi="zh-TW"/>
        </w:rPr>
        <w:t>甲方：</w:t>
      </w:r>
    </w:p>
    <w:p w14:paraId="5FB5116B">
      <w:pPr>
        <w:spacing w:after="480" w:line="360" w:lineRule="auto"/>
        <w:ind w:left="200" w:firstLine="621" w:firstLineChars="207"/>
        <w:jc w:val="left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u w:val="single"/>
          <w:lang w:bidi="zh-TW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zh-TW" w:eastAsia="zh-TW" w:bidi="zh-TW"/>
        </w:rPr>
        <w:t>乙方: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bidi="zh-TW"/>
        </w:rPr>
        <w:t xml:space="preserve"> </w:t>
      </w:r>
    </w:p>
    <w:p w14:paraId="7A93C62C">
      <w:pPr>
        <w:spacing w:line="360" w:lineRule="auto"/>
        <w:jc w:val="center"/>
        <w:rPr>
          <w:rFonts w:hint="default" w:ascii="仿宋" w:hAnsi="仿宋" w:eastAsia="仿宋" w:cs="仿宋"/>
          <w:color w:val="auto"/>
          <w:kern w:val="2"/>
          <w:sz w:val="30"/>
          <w:szCs w:val="30"/>
          <w:highlight w:val="none"/>
          <w:u w:val="single"/>
          <w:lang w:val="en-US" w:eastAsia="zh-CN" w:bidi="zh-TW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en-US"/>
        </w:rPr>
        <w:t>签订日期：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bidi="en-US"/>
        </w:rPr>
        <w:t>202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en-US"/>
        </w:rPr>
        <w:t>6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zh-TW" w:eastAsia="zh-TW" w:bidi="zh-TW"/>
        </w:rPr>
        <w:t>年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zh-TW" w:eastAsia="zh-TW" w:bidi="zh-TW"/>
        </w:rPr>
        <w:t>月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u w:val="singl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u w:val="none"/>
          <w:lang w:val="en-US" w:eastAsia="zh-CN" w:bidi="zh-TW"/>
        </w:rPr>
        <w:t>日</w:t>
      </w:r>
    </w:p>
    <w:p w14:paraId="25E596EF">
      <w:pPr>
        <w:keepNext w:val="0"/>
        <w:keepLines w:val="0"/>
        <w:shd w:val="clear" w:color="auto" w:fill="auto"/>
        <w:bidi w:val="0"/>
        <w:spacing w:before="0" w:after="0" w:line="360" w:lineRule="auto"/>
        <w:ind w:left="0" w:right="0" w:firstLine="0"/>
        <w:jc w:val="left"/>
        <w:rPr>
          <w:rFonts w:hint="eastAsia" w:ascii="仿宋" w:hAnsi="仿宋" w:eastAsia="仿宋" w:cs="仿宋"/>
          <w:color w:val="auto"/>
          <w:spacing w:val="0"/>
          <w:w w:val="100"/>
          <w:kern w:val="0"/>
          <w:position w:val="0"/>
          <w:sz w:val="24"/>
          <w:szCs w:val="24"/>
          <w:shd w:val="clear" w:color="auto" w:fill="auto"/>
          <w:lang w:eastAsia="en-US" w:bidi="en-US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0"/>
          <w:position w:val="0"/>
          <w:sz w:val="24"/>
          <w:szCs w:val="24"/>
          <w:shd w:val="clear" w:color="auto" w:fill="auto"/>
          <w:lang w:eastAsia="en-US" w:bidi="en-US"/>
        </w:rPr>
        <w:br w:type="page"/>
      </w:r>
    </w:p>
    <w:bookmarkEnd w:id="1"/>
    <w:bookmarkEnd w:id="2"/>
    <w:bookmarkEnd w:id="3"/>
    <w:p w14:paraId="58EE5B8C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u w:val="single"/>
          <w:lang w:val="en-US" w:eastAsia="zh-CN" w:bidi="zh-TW"/>
        </w:rPr>
      </w:pPr>
      <w:r>
        <w:rPr>
          <w:rFonts w:hint="eastAsia" w:ascii="仿宋" w:hAnsi="仿宋" w:eastAsia="仿宋" w:cs="仿宋"/>
          <w:color w:val="auto"/>
          <w:sz w:val="24"/>
          <w:lang w:val="zh-TW" w:eastAsia="zh-TW" w:bidi="zh-TW"/>
        </w:rPr>
        <w:t>甲方（全称）：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 w:bidi="zh-TW"/>
        </w:rPr>
        <w:t xml:space="preserve">                           </w:t>
      </w:r>
    </w:p>
    <w:p w14:paraId="0BE1FA0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z w:val="24"/>
          <w:lang w:val="zh-TW" w:eastAsia="zh-TW" w:bidi="zh-TW"/>
        </w:rPr>
        <w:t>乙方（全称）：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 w:bidi="zh-TW"/>
        </w:rPr>
        <w:t xml:space="preserve">                           </w:t>
      </w:r>
    </w:p>
    <w:p w14:paraId="4342A463">
      <w:pPr>
        <w:numPr>
          <w:ilvl w:val="0"/>
          <w:numId w:val="1"/>
        </w:numPr>
        <w:spacing w:line="360" w:lineRule="auto"/>
        <w:jc w:val="both"/>
        <w:outlineLvl w:val="2"/>
        <w:rPr>
          <w:rFonts w:hint="eastAsia" w:ascii="仿宋" w:hAnsi="仿宋" w:eastAsia="仿宋" w:cs="仿宋"/>
          <w:b/>
          <w:bCs/>
          <w:color w:val="auto"/>
          <w:sz w:val="24"/>
          <w:lang w:val="en-US" w:eastAsia="zh-CN" w:bidi="zh-TW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lang w:val="en-US" w:eastAsia="zh-CN" w:bidi="zh-TW"/>
        </w:rPr>
        <w:t>项目概况</w:t>
      </w:r>
    </w:p>
    <w:p w14:paraId="7CCA5E25">
      <w:pPr>
        <w:spacing w:after="80"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lang w:eastAsia="zh-CN" w:bidi="zh-TW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lang w:bidi="zh-TW"/>
        </w:rPr>
        <w:t>1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val="en-US" w:eastAsia="zh-CN" w:bidi="zh-TW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eastAsia="zh-CN" w:bidi="zh-TW"/>
        </w:rPr>
        <w:t>项目名称：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val="en-US" w:eastAsia="zh-CN" w:bidi="zh-TW"/>
        </w:rPr>
        <w:t>2026年资源规划政务宣传项目。</w:t>
      </w:r>
    </w:p>
    <w:p w14:paraId="006FC9B0">
      <w:pPr>
        <w:spacing w:after="80" w:line="360" w:lineRule="auto"/>
        <w:ind w:firstLine="480" w:firstLineChars="200"/>
        <w:jc w:val="left"/>
        <w:rPr>
          <w:rFonts w:hint="default" w:ascii="仿宋" w:hAnsi="仿宋" w:eastAsia="仿宋" w:cs="仿宋"/>
          <w:b w:val="0"/>
          <w:bCs w:val="0"/>
          <w:color w:val="auto"/>
          <w:sz w:val="24"/>
          <w:u w:val="single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lang w:val="en-US" w:eastAsia="zh-CN" w:bidi="zh-TW"/>
        </w:rPr>
        <w:t>2、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eastAsia="zh-CN" w:bidi="zh-TW"/>
        </w:rPr>
        <w:t>服务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val="en-US" w:eastAsia="zh-CN" w:bidi="zh-TW"/>
        </w:rPr>
        <w:t>内容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bidi="zh-TW"/>
        </w:rPr>
        <w:t>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u w:val="single"/>
          <w:lang w:val="en-US" w:eastAsia="zh-CN" w:bidi="zh-TW"/>
        </w:rPr>
        <w:t xml:space="preserve">                           </w:t>
      </w:r>
    </w:p>
    <w:p w14:paraId="32CE9C45">
      <w:pPr>
        <w:spacing w:after="80" w:line="360" w:lineRule="auto"/>
        <w:ind w:firstLine="480" w:firstLineChars="200"/>
        <w:jc w:val="left"/>
        <w:rPr>
          <w:rFonts w:hint="default" w:ascii="仿宋" w:hAnsi="仿宋" w:eastAsia="仿宋" w:cs="仿宋"/>
          <w:b w:val="0"/>
          <w:bCs w:val="0"/>
          <w:color w:val="auto"/>
          <w:sz w:val="24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lang w:val="en-US" w:eastAsia="zh-CN" w:bidi="zh-TW"/>
        </w:rPr>
        <w:t>3、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eastAsia="zh-CN" w:bidi="zh-TW"/>
        </w:rPr>
        <w:t>服务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bidi="zh-TW"/>
        </w:rPr>
        <w:t>地点：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u w:val="single"/>
          <w:lang w:val="en-US" w:eastAsia="zh-CN" w:bidi="zh-TW"/>
        </w:rPr>
        <w:t xml:space="preserve">             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eastAsia="zh-CN" w:bidi="zh-TW"/>
        </w:rPr>
        <w:t>。</w:t>
      </w:r>
    </w:p>
    <w:p w14:paraId="6C20A860">
      <w:pPr>
        <w:spacing w:after="80" w:line="360" w:lineRule="auto"/>
        <w:ind w:firstLine="482" w:firstLineChars="200"/>
        <w:jc w:val="left"/>
        <w:rPr>
          <w:rFonts w:hint="eastAsia" w:ascii="仿宋" w:hAnsi="仿宋" w:eastAsia="仿宋" w:cs="仿宋"/>
          <w:color w:val="auto"/>
          <w:sz w:val="24"/>
          <w:lang w:eastAsia="zh-CN" w:bidi="zh-TW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lang w:val="zh-TW" w:eastAsia="zh-TW" w:bidi="zh-TW"/>
        </w:rPr>
        <w:t>二、</w:t>
      </w:r>
      <w:r>
        <w:rPr>
          <w:rFonts w:hint="eastAsia" w:ascii="仿宋" w:hAnsi="仿宋" w:eastAsia="仿宋" w:cs="仿宋"/>
          <w:b/>
          <w:bCs/>
          <w:color w:val="auto"/>
          <w:sz w:val="24"/>
          <w:lang w:bidi="zh-TW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24"/>
          <w:lang w:val="en-US" w:eastAsia="zh-CN" w:bidi="zh-TW"/>
        </w:rPr>
        <w:t>期</w:t>
      </w:r>
    </w:p>
    <w:p w14:paraId="5B4F7C4C">
      <w:pPr>
        <w:spacing w:line="360" w:lineRule="auto"/>
        <w:ind w:firstLine="720" w:firstLineChars="300"/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lang w:bidi="zh-TW"/>
        </w:rPr>
        <w:t>服务</w:t>
      </w:r>
      <w:r>
        <w:rPr>
          <w:rFonts w:hint="eastAsia" w:ascii="仿宋" w:hAnsi="仿宋" w:eastAsia="仿宋" w:cs="仿宋"/>
          <w:color w:val="auto"/>
          <w:sz w:val="24"/>
          <w:lang w:val="en-US" w:eastAsia="zh-CN" w:bidi="zh-TW"/>
        </w:rPr>
        <w:t>期限</w:t>
      </w:r>
      <w:r>
        <w:rPr>
          <w:rFonts w:hint="eastAsia" w:ascii="仿宋" w:hAnsi="仿宋" w:eastAsia="仿宋" w:cs="仿宋"/>
          <w:color w:val="auto"/>
          <w:sz w:val="24"/>
          <w:lang w:bidi="zh-TW"/>
        </w:rPr>
        <w:t>：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 w:bidi="zh-TW"/>
        </w:rPr>
        <w:t xml:space="preserve">             </w:t>
      </w:r>
    </w:p>
    <w:p w14:paraId="2E8DBFDB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lang w:bidi="zh-TW"/>
        </w:rPr>
        <w:t>三、合同价款</w:t>
      </w:r>
    </w:p>
    <w:p w14:paraId="3FCCF8E2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（一）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zh-TW"/>
        </w:rPr>
        <w:t>合同价款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 w:bidi="zh-TW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（大写）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bidi="zh-TW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 xml:space="preserve"> ，小写（￥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bidi="zh-TW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 xml:space="preserve"> 元）。</w:t>
      </w:r>
    </w:p>
    <w:p w14:paraId="5B16DBC4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lang w:bidi="zh-TW"/>
        </w:rPr>
        <w:t>（二）合同</w:t>
      </w:r>
      <w:r>
        <w:rPr>
          <w:rFonts w:hint="eastAsia" w:ascii="仿宋" w:hAnsi="仿宋" w:eastAsia="仿宋" w:cs="仿宋"/>
          <w:color w:val="auto"/>
          <w:sz w:val="24"/>
          <w:lang w:val="en-US" w:eastAsia="zh-CN" w:bidi="zh-TW"/>
        </w:rPr>
        <w:t>总价</w:t>
      </w:r>
      <w:r>
        <w:rPr>
          <w:rFonts w:hint="eastAsia" w:ascii="仿宋" w:hAnsi="仿宋" w:eastAsia="仿宋" w:cs="仿宋"/>
          <w:color w:val="auto"/>
          <w:sz w:val="24"/>
          <w:lang w:bidi="zh-TW"/>
        </w:rPr>
        <w:t>包括：为完成合同全部服务内容可能发生的全部费用，同时还包含为完成本项目所需的一切成本、利润、税金和服务期内的全部风险。</w:t>
      </w:r>
    </w:p>
    <w:p w14:paraId="65CA3DDD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lang w:bidi="zh-TW"/>
        </w:rPr>
        <w:t>（三）合同</w:t>
      </w:r>
      <w:r>
        <w:rPr>
          <w:rFonts w:hint="eastAsia" w:ascii="仿宋" w:hAnsi="仿宋" w:eastAsia="仿宋" w:cs="仿宋"/>
          <w:color w:val="auto"/>
          <w:sz w:val="24"/>
          <w:lang w:val="en-US" w:eastAsia="zh-CN" w:bidi="zh-TW"/>
        </w:rPr>
        <w:t>总价</w:t>
      </w:r>
      <w:r>
        <w:rPr>
          <w:rFonts w:hint="eastAsia" w:ascii="仿宋" w:hAnsi="仿宋" w:eastAsia="仿宋" w:cs="仿宋"/>
          <w:color w:val="auto"/>
          <w:sz w:val="24"/>
          <w:lang w:bidi="zh-TW"/>
        </w:rPr>
        <w:t>不受市场价格变化因素的影响，一次性包死。</w:t>
      </w:r>
    </w:p>
    <w:p w14:paraId="53B3E988">
      <w:pPr>
        <w:tabs>
          <w:tab w:val="left" w:pos="6015"/>
          <w:tab w:val="left" w:pos="7407"/>
        </w:tabs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lang w:bidi="zh-TW"/>
        </w:rPr>
        <w:t>四、款项结算</w:t>
      </w:r>
    </w:p>
    <w:p w14:paraId="6645F620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zh-TW"/>
        </w:rPr>
        <w:t>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TW" w:eastAsia="zh-TW" w:bidi="zh-TW"/>
        </w:rPr>
        <w:t>合同款的支付：</w:t>
      </w:r>
    </w:p>
    <w:p w14:paraId="7A95C5A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72" w:line="411" w:lineRule="auto"/>
        <w:ind w:right="64" w:firstLine="419"/>
        <w:rPr>
          <w:rFonts w:hint="eastAsia" w:ascii="仿宋" w:hAnsi="仿宋" w:eastAsia="仿宋" w:cs="仿宋"/>
          <w:color w:val="auto"/>
          <w:sz w:val="24"/>
          <w:szCs w:val="24"/>
          <w:highlight w:val="lightGray"/>
          <w:lang w:bidi="zh-TW"/>
        </w:rPr>
      </w:pPr>
      <w:r>
        <w:rPr>
          <w:b w:val="0"/>
          <w:bCs/>
          <w:color w:val="auto"/>
          <w:spacing w:val="7"/>
          <w:sz w:val="22"/>
          <w:szCs w:val="22"/>
        </w:rPr>
        <w:t>合同签订后7个工作日内支付合同总价款的30%作为预付款；阶段验收</w:t>
      </w:r>
      <w:r>
        <w:rPr>
          <w:b w:val="0"/>
          <w:bCs/>
          <w:color w:val="auto"/>
          <w:spacing w:val="6"/>
          <w:sz w:val="22"/>
          <w:szCs w:val="22"/>
        </w:rPr>
        <w:t>合格后7个工作日内支</w:t>
      </w:r>
      <w:r>
        <w:rPr>
          <w:b w:val="0"/>
          <w:bCs/>
          <w:color w:val="auto"/>
          <w:spacing w:val="9"/>
          <w:sz w:val="22"/>
          <w:szCs w:val="22"/>
        </w:rPr>
        <w:t>付合同总价款的40%</w:t>
      </w:r>
      <w:r>
        <w:rPr>
          <w:rFonts w:hint="eastAsia"/>
          <w:b w:val="0"/>
          <w:bCs/>
          <w:color w:val="auto"/>
          <w:spacing w:val="9"/>
          <w:sz w:val="22"/>
          <w:szCs w:val="22"/>
          <w:lang w:eastAsia="zh-CN"/>
        </w:rPr>
        <w:t>；</w:t>
      </w:r>
      <w:r>
        <w:rPr>
          <w:b w:val="0"/>
          <w:bCs/>
          <w:color w:val="auto"/>
          <w:spacing w:val="9"/>
          <w:sz w:val="22"/>
          <w:szCs w:val="22"/>
        </w:rPr>
        <w:t>所有服务内容完成并验收合格后7个工作日内支付合</w:t>
      </w:r>
      <w:r>
        <w:rPr>
          <w:b w:val="0"/>
          <w:bCs/>
          <w:color w:val="auto"/>
          <w:spacing w:val="8"/>
          <w:sz w:val="22"/>
          <w:szCs w:val="22"/>
        </w:rPr>
        <w:t>同总价款的30%。</w:t>
      </w:r>
    </w:p>
    <w:p w14:paraId="0DA0360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TW" w:bidi="zh-TW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lang w:bidi="zh-TW"/>
        </w:rPr>
        <w:t>二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bidi="zh-TW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lang w:bidi="zh-TW"/>
        </w:rPr>
        <w:t>支付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 w:bidi="zh-TW"/>
        </w:rPr>
        <w:t>方式：银行转账。</w:t>
      </w:r>
    </w:p>
    <w:p w14:paraId="348DD25C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TW" w:bidi="zh-TW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lang w:bidi="zh-TW"/>
        </w:rPr>
        <w:t>三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bidi="zh-TW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lang w:bidi="zh-TW"/>
        </w:rPr>
        <w:t>结算方式：付款前乙方应向甲</w:t>
      </w:r>
      <w:r>
        <w:rPr>
          <w:rFonts w:hint="eastAsia" w:ascii="仿宋" w:hAnsi="仿宋" w:eastAsia="仿宋" w:cs="仿宋"/>
          <w:color w:val="auto"/>
          <w:sz w:val="24"/>
          <w:lang w:bidi="zh-TW"/>
        </w:rPr>
        <w:t>方提供合法有效的发票。乙方持成交通知书、服务合同、发票，与甲方结算。</w:t>
      </w:r>
    </w:p>
    <w:p w14:paraId="54BE4CC2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lang w:bidi="zh-TW"/>
        </w:rPr>
        <w:t>五、双方的权利和义务</w:t>
      </w:r>
    </w:p>
    <w:p w14:paraId="1A102A5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color w:val="auto"/>
          <w:sz w:val="24"/>
          <w:lang w:bidi="zh-TW"/>
        </w:rPr>
        <w:t>一</w:t>
      </w:r>
      <w:r>
        <w:rPr>
          <w:rFonts w:hint="eastAsia" w:ascii="仿宋" w:hAnsi="仿宋" w:eastAsia="仿宋" w:cs="仿宋"/>
          <w:color w:val="auto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color w:val="auto"/>
          <w:sz w:val="24"/>
          <w:lang w:bidi="zh-TW"/>
        </w:rPr>
        <w:t>甲方的权利和义务</w:t>
      </w:r>
    </w:p>
    <w:p w14:paraId="10126D90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lang w:bidi="zh-TW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77561F48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lang w:bidi="zh-TW"/>
        </w:rPr>
        <w:t>2、负责检查监督乙方管理工作的实施及制度的执行情况。</w:t>
      </w:r>
    </w:p>
    <w:p w14:paraId="53129C50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lang w:bidi="zh-TW"/>
        </w:rPr>
        <w:t>3、根据本合同规定，按时向乙方支付应付服务费用。</w:t>
      </w:r>
    </w:p>
    <w:p w14:paraId="6FF8B96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lang w:bidi="zh-TW"/>
        </w:rPr>
        <w:t>4、国家法律、法规所规定由甲方承担的其它责任。</w:t>
      </w:r>
    </w:p>
    <w:p w14:paraId="457C3F3B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lang w:bidi="zh-TW"/>
        </w:rPr>
        <w:t>（二）乙方的权利和义务</w:t>
      </w:r>
    </w:p>
    <w:p w14:paraId="32CEDF80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lang w:bidi="zh-TW"/>
        </w:rPr>
        <w:t>1、对本合同规定的委托服务范围内的项目享有管理权及服务义务。</w:t>
      </w:r>
    </w:p>
    <w:p w14:paraId="750ECB0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lang w:bidi="zh-TW"/>
        </w:rPr>
        <w:t>2、根据本合同的规定向甲方收取相关服务费用，并有权在本项目管理范围内管理及合理使用。</w:t>
      </w:r>
    </w:p>
    <w:p w14:paraId="19A70F9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lang w:bidi="zh-TW"/>
        </w:rPr>
        <w:t>3、及时向甲方通告本项目服务范围内有关服务的重大事项，及时配合处理投诉。</w:t>
      </w:r>
    </w:p>
    <w:p w14:paraId="31FDC64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lang w:bidi="zh-TW"/>
        </w:rPr>
        <w:t>4、在服务过程中接受项目行业管理部门及政府有关部门的指导，接受甲方的监督。</w:t>
      </w:r>
    </w:p>
    <w:p w14:paraId="7B21B78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lang w:bidi="zh-TW"/>
        </w:rPr>
        <w:t>5、国家法律、法规所规定由乙方承担的其它责任。</w:t>
      </w:r>
    </w:p>
    <w:p w14:paraId="1247130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lang w:bidi="zh-TW"/>
        </w:rPr>
        <w:t>6、乙方应按国家技术规范、标准、规程和甲方的需求展开工作。</w:t>
      </w:r>
    </w:p>
    <w:p w14:paraId="3712B42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lang w:bidi="zh-TW"/>
        </w:rPr>
        <w:t>7、乙方在进行服务过程中，需遵守甲方的规章制度，接受甲方的安排与协调。</w:t>
      </w:r>
    </w:p>
    <w:p w14:paraId="2CB33AA8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lang w:bidi="zh-TW"/>
        </w:rPr>
        <w:t>8、如因乙方原因导致服务工作无法开展，乙方应承担相应的责任，并采取积极的补救措施。</w:t>
      </w:r>
    </w:p>
    <w:p w14:paraId="1533892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lang w:bidi="zh-TW"/>
        </w:rPr>
        <w:t>9、在服务工作开展过程中，如出现意外事故，由乙方自行承担。</w:t>
      </w:r>
    </w:p>
    <w:p w14:paraId="3C45F704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lang w:bidi="zh-TW"/>
        </w:rPr>
        <w:t>六、质量保证</w:t>
      </w:r>
    </w:p>
    <w:p w14:paraId="2214F088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（一）服务方案和方式科学、可行，人员配置合理，全面满足要求。</w:t>
      </w:r>
    </w:p>
    <w:p w14:paraId="2CFF52E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（二）符合国家有关服务规范要求，确保各项服务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zh-TW"/>
        </w:rPr>
        <w:t>质量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达到最佳效果。</w:t>
      </w:r>
    </w:p>
    <w:p w14:paraId="38D6DF8B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（三）乙方提供的服务，若发生侵权而产生的一切后果，由乙方负责。甲方保留索赔权。</w:t>
      </w:r>
    </w:p>
    <w:p w14:paraId="7DF5C0BC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bidi="zh-TW"/>
        </w:rPr>
        <w:t>七、验收</w:t>
      </w:r>
    </w:p>
    <w:p w14:paraId="4D676D8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（一）服务内容完成后先由乙方进行自检，自检合格后邀请甲方进行验收。甲方确认乙方的自检内容后，组织乙方进行最终验收，验收时乙方应派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 w:bidi="zh-TW"/>
        </w:rPr>
        <w:t>人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员参加，共同对验收结果进行确认，并承担相关责任。</w:t>
      </w:r>
    </w:p>
    <w:p w14:paraId="38387CD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 xml:space="preserve">（二）乙方向甲方提交服务实施过程中的所有资料。以便甲方日后管理。 </w:t>
      </w:r>
    </w:p>
    <w:p w14:paraId="598D209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（三）验收依据：</w:t>
      </w:r>
    </w:p>
    <w:p w14:paraId="7AC26CC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1、竞争性磋商文件、响应文件、澄清表（函）；</w:t>
      </w:r>
    </w:p>
    <w:p w14:paraId="321607B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 xml:space="preserve">2、本合同及附件文本； </w:t>
      </w:r>
    </w:p>
    <w:p w14:paraId="6760D36B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3、国家相应的标准、规范。</w:t>
      </w:r>
    </w:p>
    <w:p w14:paraId="10E581C3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bidi="zh-TW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TW" w:eastAsia="zh-TW" w:bidi="zh-TW"/>
        </w:rPr>
        <w:t>、违约责任</w:t>
      </w:r>
    </w:p>
    <w:p w14:paraId="063680A7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（一）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合同中未约定的，按《民法典》中的相关条款执行。</w:t>
      </w:r>
      <w:bookmarkStart w:id="4" w:name="bookmark15"/>
    </w:p>
    <w:p w14:paraId="53911CDB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（</w:t>
      </w:r>
      <w:bookmarkEnd w:id="4"/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二）未按合同要求提供服务或服务质量不能满足合同要求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bidi="zh-TW"/>
        </w:rPr>
        <w:t>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甲方应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当将乙方违约的情况以及拟釆取的措施以书面形式报政府釆购监管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部门，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根据政府采购监管部门的处理意见，甲方有权依据《民法典》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有关条款及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合同约定解除合同，乙方应向甲方支付合同总价款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bidi="zh-TW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%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的违约金。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同时，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政府釆购监管部门有权依据《政府釆购法》及相关法律法规对乙方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bidi="zh-TW"/>
        </w:rPr>
        <w:t>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违法行为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进行相应的处罚。</w:t>
      </w:r>
    </w:p>
    <w:p w14:paraId="5F81F2A0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</w:pPr>
      <w:bookmarkStart w:id="5" w:name="bookmark16"/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（</w:t>
      </w:r>
      <w:bookmarkEnd w:id="5"/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三）在本合同履行过程中，双方因违约或造成对方经济、社会效益等损失的应当赔偿合同总价款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 w:bidi="zh-TW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%的违约金。</w:t>
      </w:r>
    </w:p>
    <w:p w14:paraId="5819EA98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 w:bidi="zh-TW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四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 w:bidi="zh-TW"/>
        </w:rPr>
        <w:t>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乙方提供的服务不符合本项目相关文件和本合同规定的，甲方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有权拒绝，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并且乙方须向甲方支付本合同总价款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 w:bidi="zh-TW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 w:bidi="zh-TW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 w:bidi="zh-TW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%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的违约金。</w:t>
      </w:r>
    </w:p>
    <w:p w14:paraId="0CAECC30">
      <w:pPr>
        <w:tabs>
          <w:tab w:val="left" w:pos="1438"/>
        </w:tabs>
        <w:spacing w:line="360" w:lineRule="auto"/>
        <w:ind w:firstLine="480" w:firstLineChars="200"/>
        <w:rPr>
          <w:rFonts w:hint="default" w:ascii="仿宋" w:hAnsi="仿宋" w:eastAsia="仿宋" w:cs="仿宋"/>
          <w:color w:val="auto"/>
          <w:sz w:val="24"/>
          <w:highlight w:val="none"/>
          <w:u w:val="single"/>
          <w:lang w:val="en-US" w:eastAsia="zh-CN"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五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乙方未能按照本合同约定时间提供服务或完成约定的项目服务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内容的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bidi="zh-TW"/>
        </w:rPr>
        <w:t>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从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逾期之日起每日按本合同总价款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bidi="zh-TW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%的数额向甲方支付违约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金；逾期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 w:bidi="zh-TW"/>
        </w:rPr>
        <w:t xml:space="preserve">      </w:t>
      </w:r>
    </w:p>
    <w:p w14:paraId="4F463BCF">
      <w:pPr>
        <w:tabs>
          <w:tab w:val="left" w:pos="1438"/>
        </w:tabs>
        <w:spacing w:line="360" w:lineRule="auto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日以上的，甲方有权终止合同，由此造成的甲方经济损失由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乙方承担。</w:t>
      </w:r>
    </w:p>
    <w:p w14:paraId="767E38E5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六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未经甲方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zh-TW"/>
        </w:rPr>
        <w:t>书面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同意，乙方不得擅自将本合同服务分包或转包第三方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承担。</w:t>
      </w:r>
    </w:p>
    <w:p w14:paraId="34899A0E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七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本合同中各条款约定的违约金可自甲方未支付款项中直接扣除，违约金若不能弥补甲方损失的，乙方还应赔偿甲方超出部分的损失。</w:t>
      </w:r>
    </w:p>
    <w:p w14:paraId="5C5ABCC7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TW" w:eastAsia="zh-CN"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 w:bidi="zh-TW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zh-TW"/>
        </w:rPr>
        <w:t>八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 w:bidi="zh-TW"/>
        </w:rPr>
        <w:t>）因违约方的违约行为给守约方造成损失的，应当按照本条所列违约情形支付违约金，并承担守约方因维权产生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zh-TW"/>
        </w:rPr>
        <w:t>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 w:bidi="zh-TW"/>
        </w:rPr>
        <w:t>合理支出，包括但不限于诉讼费、律师费、保全费、保全保险费等。</w:t>
      </w:r>
    </w:p>
    <w:p w14:paraId="72FD5E08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bidi="zh-TW"/>
        </w:rPr>
        <w:t>九、保密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TW" w:eastAsia="zh-TW" w:bidi="zh-TW"/>
        </w:rPr>
        <w:t>条款</w:t>
      </w:r>
    </w:p>
    <w:p w14:paraId="0C240160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一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乙方应遵守国家有关保密的法律法规和行业规定，并对甲方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提供的资料负有保密义务。未经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甲方同意，不得将承接政府服务项目获得的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政府、公民个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人等各种信息和资料提供给其他单位和个人。如发生以上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情况，甲方有权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索赔。</w:t>
      </w:r>
    </w:p>
    <w:p w14:paraId="199B5D8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甲方有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义务保护乙方的知识产权，未经乙方同意，不得将乙方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交付的具有知识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产权性质的成果文件、资料向第三方转让或用于本合同以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外的项目。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如发生以上情况，乙方有权索赔，但甲方依据相关法定职责对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外公开的除外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。</w:t>
      </w:r>
    </w:p>
    <w:p w14:paraId="68DB1FE2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本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影响本条款的效力。</w:t>
      </w:r>
    </w:p>
    <w:p w14:paraId="7E1D7CC1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bidi="zh-TW"/>
        </w:rPr>
        <w:t>十、争议解决</w:t>
      </w:r>
    </w:p>
    <w:p w14:paraId="2E140CB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一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本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合同在履行过程中发生的争议，由甲、乙双方当事人协商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解决，协商不成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的按下列第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bidi="zh-TW"/>
        </w:rPr>
        <w:t xml:space="preserve">  2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种方式解决：</w:t>
      </w:r>
    </w:p>
    <w:p w14:paraId="0B6B023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1、提交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西安仲裁委员会仲裁；</w:t>
      </w:r>
    </w:p>
    <w:p w14:paraId="10082DC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2、依法向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甲方所在地人民法院起诉。</w:t>
      </w:r>
    </w:p>
    <w:p w14:paraId="27BFA46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本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影响本条款的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效力。</w:t>
      </w:r>
    </w:p>
    <w:p w14:paraId="5DD67549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 w:bidi="zh-TW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TW" w:eastAsia="zh-TW" w:bidi="zh-TW"/>
        </w:rPr>
        <w:t>、合同变更</w:t>
      </w:r>
    </w:p>
    <w:p w14:paraId="67A601F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在合同的执行期内，双方均不得随意变更或解除合同。如因项目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需求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情况发生变化，需要项目变更的，应双方协商后签订项目变更协议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zh-TW"/>
        </w:rPr>
        <w:t>后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生效（如双方变更事项不能达成一致的，仍按原合同履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行，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否则视为违约）。</w:t>
      </w:r>
    </w:p>
    <w:p w14:paraId="787A2E12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 w:bidi="zh-TW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TW" w:eastAsia="zh-TW" w:bidi="zh-TW"/>
        </w:rPr>
        <w:t>、合同生效</w:t>
      </w:r>
    </w:p>
    <w:p w14:paraId="27175E58">
      <w:pPr>
        <w:spacing w:after="10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本合同一式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份,甲方持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份，乙方持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份,本合同甲、乙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zh-TW"/>
        </w:rPr>
        <w:t>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方签字并盖章后生效，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zh-TW"/>
        </w:rPr>
        <w:t>合同执行完毕后，自动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TW" w:eastAsia="zh-TW" w:bidi="zh-TW"/>
        </w:rPr>
        <w:t>失效（合同的服务承诺则长期有</w:t>
      </w:r>
      <w:r>
        <w:rPr>
          <w:rFonts w:hint="eastAsia" w:ascii="仿宋" w:hAnsi="仿宋" w:eastAsia="仿宋" w:cs="仿宋"/>
          <w:color w:val="auto"/>
          <w:sz w:val="24"/>
          <w:lang w:val="zh-TW" w:eastAsia="zh-TW" w:bidi="zh-TW"/>
        </w:rPr>
        <w:t>效）。</w:t>
      </w:r>
    </w:p>
    <w:p w14:paraId="4FF950DA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auto"/>
          <w:sz w:val="24"/>
          <w:lang w:bidi="en-US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lang w:bidi="en-US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24"/>
          <w:lang w:val="en-US" w:eastAsia="zh-CN" w:bidi="en-US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24"/>
          <w:lang w:bidi="en-US"/>
        </w:rPr>
        <w:t>、其他事项</w:t>
      </w:r>
    </w:p>
    <w:p w14:paraId="349A9B1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bidi="zh-TW"/>
        </w:rPr>
      </w:pPr>
      <w:r>
        <w:rPr>
          <w:rFonts w:hint="eastAsia" w:ascii="仿宋" w:hAnsi="仿宋" w:eastAsia="仿宋" w:cs="仿宋"/>
          <w:color w:val="auto"/>
          <w:sz w:val="24"/>
          <w:lang w:bidi="zh-TW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 w:bidi="zh-TW"/>
        </w:rPr>
        <w:t>一</w:t>
      </w:r>
      <w:r>
        <w:rPr>
          <w:rFonts w:hint="eastAsia" w:ascii="仿宋" w:hAnsi="仿宋" w:eastAsia="仿宋" w:cs="仿宋"/>
          <w:color w:val="auto"/>
          <w:sz w:val="24"/>
          <w:lang w:bidi="zh-TW"/>
        </w:rPr>
        <w:t>）在合同的履行期间以及履行期后，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监管部门</w:t>
      </w:r>
      <w:r>
        <w:rPr>
          <w:rFonts w:hint="eastAsia" w:ascii="仿宋" w:hAnsi="仿宋" w:eastAsia="仿宋" w:cs="仿宋"/>
          <w:color w:val="auto"/>
          <w:sz w:val="24"/>
          <w:lang w:bidi="zh-TW"/>
        </w:rPr>
        <w:t>可以随时检查项目的执行情况，对采购标准、釆购内容进行调查核实，并对发现的问题进行处理。</w:t>
      </w:r>
    </w:p>
    <w:p w14:paraId="00C19D2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 w:bidi="zh-TW"/>
        </w:rPr>
        <w:t>二</w:t>
      </w:r>
      <w:r>
        <w:rPr>
          <w:rFonts w:hint="eastAsia" w:ascii="仿宋" w:hAnsi="仿宋" w:eastAsia="仿宋" w:cs="仿宋"/>
          <w:color w:val="auto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color w:val="auto"/>
          <w:sz w:val="24"/>
          <w:lang w:bidi="zh-TW"/>
        </w:rPr>
        <w:t>竞争性</w:t>
      </w:r>
      <w:r>
        <w:rPr>
          <w:rFonts w:hint="eastAsia" w:ascii="仿宋" w:hAnsi="仿宋" w:eastAsia="仿宋" w:cs="仿宋"/>
          <w:color w:val="auto"/>
          <w:sz w:val="24"/>
          <w:lang w:val="zh-TW" w:eastAsia="zh-TW" w:bidi="zh-TW"/>
        </w:rPr>
        <w:t>磋商文件、响应文件、澄清表（函）、成交通知书、合同</w:t>
      </w:r>
      <w:r>
        <w:rPr>
          <w:rFonts w:hint="eastAsia" w:ascii="仿宋" w:hAnsi="仿宋" w:eastAsia="仿宋" w:cs="仿宋"/>
          <w:color w:val="auto"/>
          <w:sz w:val="24"/>
          <w:lang w:bidi="zh-TW"/>
        </w:rPr>
        <w:t>附件均为合同</w:t>
      </w:r>
      <w:r>
        <w:rPr>
          <w:rFonts w:hint="eastAsia" w:ascii="仿宋" w:hAnsi="仿宋" w:eastAsia="仿宋" w:cs="仿宋"/>
          <w:color w:val="auto"/>
          <w:sz w:val="24"/>
          <w:lang w:val="zh-TW" w:eastAsia="zh-TW" w:bidi="zh-TW"/>
        </w:rPr>
        <w:t>不可分割的部分。</w:t>
      </w:r>
    </w:p>
    <w:p w14:paraId="646F37C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 w:bidi="zh-TW"/>
        </w:rPr>
        <w:t>三</w:t>
      </w:r>
      <w:r>
        <w:rPr>
          <w:rFonts w:hint="eastAsia" w:ascii="仿宋" w:hAnsi="仿宋" w:eastAsia="仿宋" w:cs="仿宋"/>
          <w:color w:val="auto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color w:val="auto"/>
          <w:sz w:val="24"/>
          <w:lang w:bidi="zh-TW"/>
        </w:rPr>
        <w:t>甲乙</w:t>
      </w:r>
      <w:r>
        <w:rPr>
          <w:rFonts w:hint="eastAsia" w:ascii="仿宋" w:hAnsi="仿宋" w:eastAsia="仿宋" w:cs="仿宋"/>
          <w:color w:val="auto"/>
          <w:sz w:val="24"/>
          <w:lang w:val="zh-TW" w:eastAsia="zh-TW" w:bidi="zh-TW"/>
        </w:rPr>
        <w:t>双方因不可抗力导致本合同全部或部分不能履行时，发生</w:t>
      </w:r>
      <w:r>
        <w:rPr>
          <w:rFonts w:hint="eastAsia" w:ascii="仿宋" w:hAnsi="仿宋" w:eastAsia="仿宋" w:cs="仿宋"/>
          <w:color w:val="auto"/>
          <w:sz w:val="24"/>
          <w:lang w:bidi="zh-TW"/>
        </w:rPr>
        <w:t>不可抗力的一方应当</w:t>
      </w:r>
      <w:r>
        <w:rPr>
          <w:rFonts w:hint="eastAsia" w:ascii="仿宋" w:hAnsi="仿宋" w:eastAsia="仿宋" w:cs="仿宋"/>
          <w:color w:val="auto"/>
          <w:sz w:val="24"/>
          <w:lang w:val="zh-TW" w:eastAsia="zh-TW" w:bidi="zh-TW"/>
        </w:rPr>
        <w:t>在不可抗力发生后</w:t>
      </w:r>
      <w:r>
        <w:rPr>
          <w:rFonts w:hint="eastAsia" w:ascii="仿宋" w:hAnsi="仿宋" w:eastAsia="仿宋" w:cs="仿宋"/>
          <w:color w:val="auto"/>
          <w:sz w:val="24"/>
          <w:u w:val="single"/>
          <w:lang w:bidi="zh-TW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lang w:val="zh-TW" w:eastAsia="zh-TW" w:bidi="zh-TW"/>
        </w:rPr>
        <w:t>天内书面通知对方，以减轻</w:t>
      </w:r>
      <w:r>
        <w:rPr>
          <w:rFonts w:hint="eastAsia" w:ascii="仿宋" w:hAnsi="仿宋" w:eastAsia="仿宋" w:cs="仿宋"/>
          <w:color w:val="auto"/>
          <w:sz w:val="24"/>
          <w:lang w:bidi="zh-TW"/>
        </w:rPr>
        <w:t>可能给对方造成的损失</w:t>
      </w:r>
      <w:r>
        <w:rPr>
          <w:rFonts w:hint="eastAsia" w:ascii="仿宋" w:hAnsi="仿宋" w:eastAsia="仿宋" w:cs="仿宋"/>
          <w:color w:val="auto"/>
          <w:sz w:val="24"/>
          <w:lang w:val="zh-TW" w:eastAsia="zh-TW" w:bidi="zh-TW"/>
        </w:rPr>
        <w:t>。因不可抗力导致本合同全部或部分不能履行时，</w:t>
      </w:r>
      <w:r>
        <w:rPr>
          <w:rFonts w:hint="eastAsia" w:ascii="仿宋" w:hAnsi="仿宋" w:eastAsia="仿宋" w:cs="仿宋"/>
          <w:color w:val="auto"/>
          <w:sz w:val="24"/>
          <w:lang w:bidi="zh-TW"/>
        </w:rPr>
        <w:t>双方各自承担其因此而造成的损失</w:t>
      </w:r>
      <w:r>
        <w:rPr>
          <w:rFonts w:hint="eastAsia" w:ascii="仿宋" w:hAnsi="仿宋" w:eastAsia="仿宋" w:cs="仿宋"/>
          <w:color w:val="auto"/>
          <w:sz w:val="24"/>
          <w:lang w:val="zh-TW" w:eastAsia="zh-TW" w:bidi="zh-TW"/>
        </w:rPr>
        <w:t>、损害。</w:t>
      </w:r>
    </w:p>
    <w:p w14:paraId="136E3968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 w:bidi="zh-TW"/>
        </w:rPr>
        <w:t>四</w:t>
      </w:r>
      <w:r>
        <w:rPr>
          <w:rFonts w:hint="eastAsia" w:ascii="仿宋" w:hAnsi="仿宋" w:eastAsia="仿宋" w:cs="仿宋"/>
          <w:color w:val="auto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color w:val="auto"/>
          <w:sz w:val="24"/>
          <w:lang w:bidi="zh-TW"/>
        </w:rPr>
        <w:t>合同</w:t>
      </w:r>
      <w:r>
        <w:rPr>
          <w:rFonts w:hint="eastAsia" w:ascii="仿宋" w:hAnsi="仿宋" w:eastAsia="仿宋" w:cs="仿宋"/>
          <w:color w:val="auto"/>
          <w:sz w:val="24"/>
          <w:lang w:val="zh-TW" w:eastAsia="zh-TW" w:bidi="zh-TW"/>
        </w:rPr>
        <w:t>未尽事宜，由甲、乙双方协商确认后签订政府</w:t>
      </w:r>
      <w:r>
        <w:rPr>
          <w:rFonts w:hint="eastAsia" w:ascii="仿宋" w:hAnsi="仿宋" w:eastAsia="仿宋" w:cs="仿宋"/>
          <w:color w:val="auto"/>
          <w:sz w:val="24"/>
          <w:lang w:bidi="zh-TW"/>
        </w:rPr>
        <w:t>采购补充合同，</w:t>
      </w:r>
      <w:r>
        <w:rPr>
          <w:rFonts w:hint="eastAsia" w:ascii="仿宋" w:hAnsi="仿宋" w:eastAsia="仿宋" w:cs="仿宋"/>
          <w:color w:val="auto"/>
          <w:sz w:val="24"/>
          <w:lang w:val="zh-TW" w:eastAsia="zh-TW" w:bidi="zh-TW"/>
        </w:rPr>
        <w:t>与原合同具有同等法律效力。</w:t>
      </w:r>
    </w:p>
    <w:p w14:paraId="338D4256">
      <w:pPr>
        <w:widowControl w:val="0"/>
        <w:adjustRightInd w:val="0"/>
        <w:spacing w:line="360" w:lineRule="auto"/>
        <w:ind w:left="420" w:right="33" w:firstLine="0" w:firstLineChars="0"/>
        <w:jc w:val="left"/>
        <w:rPr>
          <w:rFonts w:hint="eastAsia" w:ascii="仿宋" w:hAnsi="仿宋" w:eastAsia="仿宋" w:cs="仿宋"/>
          <w:color w:val="auto"/>
          <w:kern w:val="0"/>
          <w:sz w:val="24"/>
          <w:szCs w:val="20"/>
          <w:lang w:val="zh-TW" w:eastAsia="zh-CN" w:bidi="zh-TW"/>
        </w:rPr>
      </w:pPr>
    </w:p>
    <w:tbl>
      <w:tblPr>
        <w:tblStyle w:val="3"/>
        <w:tblpPr w:leftFromText="181" w:rightFromText="181" w:vertAnchor="text" w:horzAnchor="margin" w:tblpXSpec="center" w:tblpY="24"/>
        <w:tblOverlap w:val="never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5"/>
        <w:gridCol w:w="4035"/>
      </w:tblGrid>
      <w:tr w14:paraId="01D75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632" w:type="pct"/>
          </w:tcPr>
          <w:p w14:paraId="4AF44A57">
            <w:pPr>
              <w:overflowPunct w:val="0"/>
              <w:topLinePunct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甲  方</w:t>
            </w:r>
          </w:p>
        </w:tc>
        <w:tc>
          <w:tcPr>
            <w:tcW w:w="2367" w:type="pct"/>
          </w:tcPr>
          <w:p w14:paraId="0817D368">
            <w:pPr>
              <w:overflowPunct w:val="0"/>
              <w:topLinePunct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乙  方</w:t>
            </w:r>
          </w:p>
        </w:tc>
      </w:tr>
      <w:tr w14:paraId="068FC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2632" w:type="pct"/>
            <w:vAlign w:val="center"/>
          </w:tcPr>
          <w:p w14:paraId="007E19ED">
            <w:pPr>
              <w:overflowPunct w:val="0"/>
              <w:topLinePunct/>
              <w:spacing w:line="36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采购人全称</w:t>
            </w:r>
          </w:p>
          <w:p w14:paraId="567463DF">
            <w:pPr>
              <w:overflowPunct w:val="0"/>
              <w:topLinePunct/>
              <w:spacing w:line="36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（公章）</w:t>
            </w:r>
          </w:p>
        </w:tc>
        <w:tc>
          <w:tcPr>
            <w:tcW w:w="2367" w:type="pct"/>
            <w:vAlign w:val="center"/>
          </w:tcPr>
          <w:p w14:paraId="5FC9E7BC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成交供应商全称</w:t>
            </w:r>
          </w:p>
          <w:p w14:paraId="79116599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（公章）</w:t>
            </w:r>
          </w:p>
        </w:tc>
      </w:tr>
      <w:tr w14:paraId="031A0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7FD1ABAA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地址： </w:t>
            </w:r>
          </w:p>
        </w:tc>
        <w:tc>
          <w:tcPr>
            <w:tcW w:w="2367" w:type="pct"/>
          </w:tcPr>
          <w:p w14:paraId="35EE65C7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地址：</w:t>
            </w:r>
          </w:p>
        </w:tc>
      </w:tr>
      <w:tr w14:paraId="78FBD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64B1FA8D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邮编：</w:t>
            </w:r>
          </w:p>
        </w:tc>
        <w:tc>
          <w:tcPr>
            <w:tcW w:w="2367" w:type="pct"/>
          </w:tcPr>
          <w:p w14:paraId="541C2CE5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邮编：</w:t>
            </w:r>
          </w:p>
        </w:tc>
      </w:tr>
      <w:tr w14:paraId="40F55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2632" w:type="pct"/>
          </w:tcPr>
          <w:p w14:paraId="6BEBCD15">
            <w:pPr>
              <w:overflowPunct w:val="0"/>
              <w:topLinePunct/>
              <w:spacing w:line="36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法定代表人或被授权人（签字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或盖章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）： </w:t>
            </w:r>
          </w:p>
        </w:tc>
        <w:tc>
          <w:tcPr>
            <w:tcW w:w="2367" w:type="pct"/>
          </w:tcPr>
          <w:p w14:paraId="010EF02F">
            <w:pPr>
              <w:overflowPunct w:val="0"/>
              <w:topLinePunct/>
              <w:spacing w:line="36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法定代表人或被授权人（签字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或盖章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）：</w:t>
            </w:r>
          </w:p>
        </w:tc>
      </w:tr>
      <w:tr w14:paraId="3F321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1350C6DB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电话：</w:t>
            </w:r>
          </w:p>
        </w:tc>
        <w:tc>
          <w:tcPr>
            <w:tcW w:w="2367" w:type="pct"/>
          </w:tcPr>
          <w:p w14:paraId="6162B665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电话：</w:t>
            </w:r>
          </w:p>
        </w:tc>
      </w:tr>
      <w:tr w14:paraId="5E28D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632" w:type="pct"/>
          </w:tcPr>
          <w:p w14:paraId="56C8A04D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传真：</w:t>
            </w:r>
          </w:p>
        </w:tc>
        <w:tc>
          <w:tcPr>
            <w:tcW w:w="2367" w:type="pct"/>
          </w:tcPr>
          <w:p w14:paraId="191053B4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传真：</w:t>
            </w:r>
          </w:p>
        </w:tc>
      </w:tr>
      <w:tr w14:paraId="7684B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632" w:type="pct"/>
          </w:tcPr>
          <w:p w14:paraId="74AB8CA4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开户银行：</w:t>
            </w:r>
          </w:p>
        </w:tc>
        <w:tc>
          <w:tcPr>
            <w:tcW w:w="2367" w:type="pct"/>
          </w:tcPr>
          <w:p w14:paraId="37156501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开户银行：</w:t>
            </w:r>
          </w:p>
        </w:tc>
      </w:tr>
      <w:tr w14:paraId="39EDB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632" w:type="pct"/>
          </w:tcPr>
          <w:p w14:paraId="01CB8453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账号：</w:t>
            </w:r>
          </w:p>
        </w:tc>
        <w:tc>
          <w:tcPr>
            <w:tcW w:w="2367" w:type="pct"/>
          </w:tcPr>
          <w:p w14:paraId="3107AB3F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账号：</w:t>
            </w:r>
          </w:p>
        </w:tc>
      </w:tr>
      <w:tr w14:paraId="6C60B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5000" w:type="pct"/>
            <w:gridSpan w:val="2"/>
          </w:tcPr>
          <w:p w14:paraId="4B44D766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      年  月  日</w:t>
            </w:r>
          </w:p>
        </w:tc>
      </w:tr>
    </w:tbl>
    <w:p w14:paraId="7986FDD7">
      <w:pPr>
        <w:pStyle w:val="5"/>
        <w:rPr>
          <w:rFonts w:hint="eastAsia" w:ascii="仿宋" w:hAnsi="仿宋" w:eastAsia="仿宋" w:cs="仿宋"/>
          <w:color w:val="auto"/>
          <w:lang w:val="en-US" w:eastAsia="zh-Hans"/>
        </w:rPr>
      </w:pPr>
    </w:p>
    <w:p w14:paraId="4868601A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65BA88"/>
    <w:multiLevelType w:val="singleLevel"/>
    <w:tmpl w:val="5265BA8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74525A"/>
    <w:rsid w:val="5D74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2026-06-30T03:13:00Z</dcterms:created>
  <dc:creator>  </dc:creator>
  <cp:lastModifiedBy>  </cp:lastModifiedBy>
  <dcterms:modified xsi:type="dcterms:W3CDTF">2026-06-30T03:14:30Z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03CD5AEC7C304CAE8778CB114EB0AF6A_11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