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版本号：SLCG-TP〔2026〕2号20260519002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弯沉检测车辆及相关设备采购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SLCG-TP〔2026〕2号</w:t>
      </w:r>
      <w:r>
        <w:br/>
      </w:r>
      <w:r>
        <w:br/>
      </w:r>
      <w:r>
        <w:br/>
      </w:r>
    </w:p>
    <w:p>
      <w:pPr>
        <w:pStyle w:val="null3"/>
        <w:jc w:val="center"/>
        <w:outlineLvl w:val="2"/>
      </w:pPr>
      <w:r>
        <w:rPr>
          <w:rFonts w:ascii="仿宋_GB2312" w:hAnsi="仿宋_GB2312" w:cs="仿宋_GB2312" w:eastAsia="仿宋_GB2312"/>
          <w:sz w:val="28"/>
          <w:b/>
        </w:rPr>
        <w:t>商洛市交通建设工程质量监测鉴定中心</w:t>
      </w:r>
    </w:p>
    <w:p>
      <w:pPr>
        <w:pStyle w:val="null3"/>
        <w:jc w:val="center"/>
        <w:outlineLvl w:val="2"/>
      </w:pPr>
      <w:r>
        <w:rPr>
          <w:rFonts w:ascii="仿宋_GB2312" w:hAnsi="仿宋_GB2312" w:cs="仿宋_GB2312" w:eastAsia="仿宋_GB2312"/>
          <w:sz w:val="28"/>
          <w:b/>
        </w:rPr>
        <w:t>商洛市政府采购中心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商洛市政府采购中心</w:t>
      </w:r>
      <w:r>
        <w:rPr>
          <w:rFonts w:ascii="仿宋_GB2312" w:hAnsi="仿宋_GB2312" w:cs="仿宋_GB2312" w:eastAsia="仿宋_GB2312"/>
        </w:rPr>
        <w:t>（以下简称“代理机构”）受</w:t>
      </w:r>
      <w:r>
        <w:rPr>
          <w:rFonts w:ascii="仿宋_GB2312" w:hAnsi="仿宋_GB2312" w:cs="仿宋_GB2312" w:eastAsia="仿宋_GB2312"/>
        </w:rPr>
        <w:t>商洛市交通建设工程质量监测鉴定中心</w:t>
      </w:r>
      <w:r>
        <w:rPr>
          <w:rFonts w:ascii="仿宋_GB2312" w:hAnsi="仿宋_GB2312" w:cs="仿宋_GB2312" w:eastAsia="仿宋_GB2312"/>
        </w:rPr>
        <w:t>委托，拟对</w:t>
      </w:r>
      <w:r>
        <w:rPr>
          <w:rFonts w:ascii="仿宋_GB2312" w:hAnsi="仿宋_GB2312" w:cs="仿宋_GB2312" w:eastAsia="仿宋_GB2312"/>
        </w:rPr>
        <w:t>弯沉检测车辆及相关设备采购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SLCG-TP〔2026〕2号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弯沉检测车辆及相关设备采购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商洛市交通建设工程质量监测鉴定中心因原有弯沉检测设备使用年限长、检测效率偏低、动态响应精度不足，难以完全满足现行规范《公路路基路面现场测试规程》（JTG3450-2019）对动态弯沉检测的精细化要求。为落实交通运输部关于提升公路技术状况检测频次与数据可靠性的有关部署，需配置一套机动性强、精度高、符合国标要求的弯沉检测系统，拟采购弯沉检测车辆及相关设备，以强化对辖区公路技术状况的动态监管能力，更好地满足商洛市国省干线、重点农村公路路基路面动态弯沉检测、道路施工质量验收及承载能力评定的需求，提升检测工作的智能化、精准化水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合法有效：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p>
      <w:pPr>
        <w:pStyle w:val="null3"/>
      </w:pPr>
      <w:r>
        <w:rPr>
          <w:rFonts w:ascii="仿宋_GB2312" w:hAnsi="仿宋_GB2312" w:cs="仿宋_GB2312" w:eastAsia="仿宋_GB2312"/>
        </w:rPr>
        <w:t>2、具有良好的财务状况：供应商须具有良好的财务状况，并须在项目电子化交易系统中提交2025 年度经第三方机构审计的财务报告（成立时间至提交响应文件截止时间不足一年的可提供成立后任意时段的资产负债表），或项目采购公告发布前3个月其基本存款账户开户银行出具的资信证明，并进行电子签章。</w:t>
      </w:r>
    </w:p>
    <w:p>
      <w:pPr>
        <w:pStyle w:val="null3"/>
      </w:pPr>
      <w:r>
        <w:rPr>
          <w:rFonts w:ascii="仿宋_GB2312" w:hAnsi="仿宋_GB2312" w:cs="仿宋_GB2312" w:eastAsia="仿宋_GB2312"/>
        </w:rPr>
        <w:t>3、具有良好的税收缴纳记录：供应商须具有良好的税收缴纳记录，并须在项目电子化交易系统中提交2025年以来内任意一个月的缴纳税收凭据（时间以税款所属日期为准、税种须同时包含增值税和企业所得税，凭据须有税务机关或代收机关的公章或业务专用章，依法免税或无须缴纳税收应提供相应证明文件），并完成电子签章。</w:t>
      </w:r>
    </w:p>
    <w:p>
      <w:pPr>
        <w:pStyle w:val="null3"/>
      </w:pPr>
      <w:r>
        <w:rPr>
          <w:rFonts w:ascii="仿宋_GB2312" w:hAnsi="仿宋_GB2312" w:cs="仿宋_GB2312" w:eastAsia="仿宋_GB2312"/>
        </w:rPr>
        <w:t>4、具有良好的社会保障资金缴纳记录：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p>
      <w:pPr>
        <w:pStyle w:val="null3"/>
      </w:pPr>
      <w:r>
        <w:rPr>
          <w:rFonts w:ascii="仿宋_GB2312" w:hAnsi="仿宋_GB2312" w:cs="仿宋_GB2312" w:eastAsia="仿宋_GB2312"/>
        </w:rPr>
        <w:t>5、近三年内在经营活动中无重大违法记录：供应商近三年内在经营活动中须无重大违法记录，并须在项目电子化交易系统中提交近三年内在经营活动中无重大违法记录声明函，且近三年内在经营活动中无重大违法记录，并完成电子签章。</w:t>
      </w:r>
    </w:p>
    <w:p>
      <w:pPr>
        <w:pStyle w:val="null3"/>
      </w:pPr>
      <w:r>
        <w:rPr>
          <w:rFonts w:ascii="仿宋_GB2312" w:hAnsi="仿宋_GB2312" w:cs="仿宋_GB2312" w:eastAsia="仿宋_GB2312"/>
        </w:rPr>
        <w:t>6、信用记录声明及查询合法有效：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信用记录声明函，并完成电子签章。采购人及采购代理机构将在开标后对供应商的信用记录进行查询并下载查询报告及截图保存，存在不良信用记录的，按无效响应处理。</w:t>
      </w:r>
    </w:p>
    <w:p>
      <w:pPr>
        <w:pStyle w:val="null3"/>
      </w:pPr>
      <w:r>
        <w:rPr>
          <w:rFonts w:ascii="仿宋_GB2312" w:hAnsi="仿宋_GB2312" w:cs="仿宋_GB2312" w:eastAsia="仿宋_GB2312"/>
        </w:rPr>
        <w:t>7、法定代表人授权书合法有效：供应商法定代表人直接参加谈判的须提供本人身份证、法定代表人身份证明书，法定代表人授权代表参加谈判的须提供法定代表人授权书、被授权人身份证，并须在项目电子化交易系统中提交法定代表人身份证、法定代表人身份证明书（或法定代表人授权书、被授权人身份证）原件的扫描件，并完成电子签章。</w:t>
      </w:r>
    </w:p>
    <w:p>
      <w:pPr>
        <w:pStyle w:val="null3"/>
      </w:pPr>
      <w:r>
        <w:rPr>
          <w:rFonts w:ascii="仿宋_GB2312" w:hAnsi="仿宋_GB2312" w:cs="仿宋_GB2312" w:eastAsia="仿宋_GB2312"/>
        </w:rPr>
        <w:t>8、业绩证明文件合法有效：供应商近三年须具有类似项目业绩，并须在项目电子化交易系统中提交业绩证明材料（合同、验收报告原件的扫描件），并完成电子签章。</w:t>
      </w:r>
    </w:p>
    <w:p>
      <w:pPr>
        <w:pStyle w:val="null3"/>
      </w:pPr>
      <w:r>
        <w:rPr>
          <w:rFonts w:ascii="仿宋_GB2312" w:hAnsi="仿宋_GB2312" w:cs="仿宋_GB2312" w:eastAsia="仿宋_GB2312"/>
        </w:rPr>
        <w:t>9、生产厂商声明或授权书合法有效：供应商必须是所响应FWD设备的生产厂商或取得生产厂商针对本项目出具的合法有效授权的经销商，生产厂商参加响应的须在项目电子化交易系统中提交生产厂商声明函（经销商参加响应的须提交生产厂商针对本项目出具的合法有效授权书），并完成电子签章。</w:t>
      </w:r>
    </w:p>
    <w:p>
      <w:pPr>
        <w:pStyle w:val="null3"/>
      </w:pPr>
      <w:r>
        <w:rPr>
          <w:rFonts w:ascii="仿宋_GB2312" w:hAnsi="仿宋_GB2312" w:cs="仿宋_GB2312" w:eastAsia="仿宋_GB2312"/>
        </w:rPr>
        <w:t>10、控股关系承诺合法有效：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p>
      <w:pPr>
        <w:pStyle w:val="null3"/>
      </w:pPr>
      <w:r>
        <w:rPr>
          <w:rFonts w:ascii="仿宋_GB2312" w:hAnsi="仿宋_GB2312" w:cs="仿宋_GB2312" w:eastAsia="仿宋_GB2312"/>
        </w:rPr>
        <w:t>11、非联合体不分包响应声明：本项目不接受联合体响应，供应商须以一个独立的法人实体参加响应。供应商须在项目电子化交易系统中提交“非联合体不分包响应声明函”原件的扫描件，并完成电子签章。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商洛市交通建设工程质量监测鉴定中心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商洛市商州区通信路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王晶晶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0914-2980011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商洛市政府采购中心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商洛市商州区工农路12号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侯小斌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0914-2318823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《财政部、发展改革委、生态环境部、市场监管总局关于调整优化节能产品环境标志产品政府采购执行机制的通知》（财政部财库〔2019〕9号）</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《节能产品政府采购实施意见》（财政部财库〔2004〕185号）</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《环境标志产品政府采购实施的意见》（财政部财库〔2006〕90号）</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商洛市交通建设工程质量监测鉴定中心</w:t>
      </w:r>
      <w:r>
        <w:rPr>
          <w:rFonts w:ascii="仿宋_GB2312" w:hAnsi="仿宋_GB2312" w:cs="仿宋_GB2312" w:eastAsia="仿宋_GB2312"/>
        </w:rPr>
        <w:t>和</w:t>
      </w:r>
      <w:r>
        <w:rPr>
          <w:rFonts w:ascii="仿宋_GB2312" w:hAnsi="仿宋_GB2312" w:cs="仿宋_GB2312" w:eastAsia="仿宋_GB2312"/>
        </w:rPr>
        <w:t>商洛市政府采购中心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商洛市交通建设工程质量监测鉴定中心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商洛市政府采购中心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商洛市交通建设工程质量监测鉴定中心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商洛市政府采购中心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供应商集成地进行，重点核查底盘改装、设备安装、软件配置及初步性能测试是否符合合同承诺。现场最终验收：设备运抵商洛指定地点后，完成安装调试。计量检定：必须由具备资质的第三方计量检测机构进行检定/校准，出具合格证书，作为最终验收通过的必备条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商洛市交通建设工程质量监测鉴定中心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商洛市政府采购中心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商洛市政府采购中心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联系人：王晶晶</w:t>
      </w:r>
    </w:p>
    <w:p>
      <w:pPr>
        <w:pStyle w:val="null3"/>
      </w:pPr>
      <w:r>
        <w:rPr>
          <w:rFonts w:ascii="仿宋_GB2312" w:hAnsi="仿宋_GB2312" w:cs="仿宋_GB2312" w:eastAsia="仿宋_GB2312"/>
        </w:rPr>
        <w:t>联系电话：0914-2980011</w:t>
      </w:r>
    </w:p>
    <w:p>
      <w:pPr>
        <w:pStyle w:val="null3"/>
      </w:pPr>
      <w:r>
        <w:rPr>
          <w:rFonts w:ascii="仿宋_GB2312" w:hAnsi="仿宋_GB2312" w:cs="仿宋_GB2312" w:eastAsia="仿宋_GB2312"/>
        </w:rPr>
        <w:t>地址：商洛市商州区通信路</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联系人：侯小斌</w:t>
      </w:r>
    </w:p>
    <w:p>
      <w:pPr>
        <w:pStyle w:val="null3"/>
      </w:pPr>
      <w:r>
        <w:rPr>
          <w:rFonts w:ascii="仿宋_GB2312" w:hAnsi="仿宋_GB2312" w:cs="仿宋_GB2312" w:eastAsia="仿宋_GB2312"/>
        </w:rPr>
        <w:t>联系电话：0914-2318823</w:t>
      </w:r>
    </w:p>
    <w:p>
      <w:pPr>
        <w:pStyle w:val="null3"/>
      </w:pPr>
      <w:r>
        <w:rPr>
          <w:rFonts w:ascii="仿宋_GB2312" w:hAnsi="仿宋_GB2312" w:cs="仿宋_GB2312" w:eastAsia="仿宋_GB2312"/>
        </w:rPr>
        <w:t>地址：商洛市商州区工农路12号</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随着商洛市公路网规划逐步完善及交通流量持续增长，公路路基路面的结构安全与服役能力面临更高要求。我中心原有弯沉检测设备存在服役年限长、检测效率偏低、动态响应精度不足等问题，已难以完全满足现行规范《公路路基路面现场测试规程》（JTG3450-2019）对动态弯沉检测的精细化要求。为落实交通运输部关于提升公路技术状况检测频次与数据可靠性的有关部署，需配置一套机动性强、精度高、符合国标要求的弯沉检测系统，以强化对辖区公路技术状况的动态监管能力。为满足商洛市国省干线、重点农村公路路基路面动态弯沉检测、道路施工质量验收及承载能力评定的需求，提升检测工作的智能化、精准化水平，经市财政局、机关事务局批准，原检测车辆已做报废处理，拟采购弯沉检测车辆及相关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商洛市交通建设工程质量监测鉴定中心弯沉检测车辆及相关设备采购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510,000.00</w:t>
            </w:r>
          </w:p>
        </w:tc>
        <w:tc>
          <w:tcPr>
            <w:tcW w:type="dxa" w:w="755"/>
          </w:tcPr>
          <w:p>
            <w:pPr>
              <w:pStyle w:val="null3"/>
            </w:pPr>
            <w:r>
              <w:rPr>
                <w:rFonts w:ascii="仿宋_GB2312" w:hAnsi="仿宋_GB2312" w:cs="仿宋_GB2312" w:eastAsia="仿宋_GB2312"/>
              </w:rPr>
              <w:t>辆</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标的名称：商洛市交通建设工程质量监测鉴定中心弯沉检测车辆及相关设备采购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40"/>
              <w:jc w:val="both"/>
            </w:pPr>
            <w:r>
              <w:rPr>
                <w:rFonts w:ascii="仿宋_GB2312" w:hAnsi="仿宋_GB2312" w:cs="仿宋_GB2312" w:eastAsia="仿宋_GB2312"/>
                <w:sz w:val="32"/>
              </w:rPr>
              <w:t>（一）承载车技术参数</w:t>
            </w:r>
          </w:p>
          <w:p>
            <w:pPr>
              <w:pStyle w:val="null3"/>
              <w:ind w:firstLine="640"/>
              <w:jc w:val="both"/>
            </w:pPr>
            <w:r>
              <w:rPr>
                <w:rFonts w:ascii="仿宋_GB2312" w:hAnsi="仿宋_GB2312" w:cs="仿宋_GB2312" w:eastAsia="仿宋_GB2312"/>
                <w:sz w:val="32"/>
              </w:rPr>
              <w:t>车辆要求：保证承载车为行业内</w:t>
            </w:r>
            <w:r>
              <w:rPr>
                <w:rFonts w:ascii="仿宋_GB2312" w:hAnsi="仿宋_GB2312" w:cs="仿宋_GB2312" w:eastAsia="仿宋_GB2312"/>
                <w:sz w:val="32"/>
              </w:rPr>
              <w:t>5</w:t>
            </w:r>
            <w:r>
              <w:rPr>
                <w:rFonts w:ascii="仿宋_GB2312" w:hAnsi="仿宋_GB2312" w:cs="仿宋_GB2312" w:eastAsia="仿宋_GB2312"/>
                <w:sz w:val="32"/>
              </w:rPr>
              <w:t>年以来主流供应车型。</w:t>
            </w:r>
          </w:p>
          <w:p>
            <w:pPr>
              <w:pStyle w:val="null3"/>
              <w:ind w:firstLine="640"/>
              <w:jc w:val="both"/>
            </w:pPr>
            <w:r>
              <w:rPr>
                <w:rFonts w:ascii="仿宋_GB2312" w:hAnsi="仿宋_GB2312" w:cs="仿宋_GB2312" w:eastAsia="仿宋_GB2312"/>
                <w:sz w:val="32"/>
              </w:rPr>
              <w:t>底盘要求：汽柴油发动机，国Ⅵ排放标准，排量≤</w:t>
            </w:r>
            <w:r>
              <w:rPr>
                <w:rFonts w:ascii="仿宋_GB2312" w:hAnsi="仿宋_GB2312" w:cs="仿宋_GB2312" w:eastAsia="仿宋_GB2312"/>
                <w:sz w:val="32"/>
              </w:rPr>
              <w:t>2.0</w:t>
            </w:r>
            <w:r>
              <w:rPr>
                <w:rFonts w:ascii="仿宋_GB2312" w:hAnsi="仿宋_GB2312" w:cs="仿宋_GB2312" w:eastAsia="仿宋_GB2312"/>
                <w:sz w:val="32"/>
              </w:rPr>
              <w:t>；</w:t>
            </w:r>
            <w:r>
              <w:rPr>
                <w:rFonts w:ascii="仿宋_GB2312" w:hAnsi="仿宋_GB2312" w:cs="仿宋_GB2312" w:eastAsia="仿宋_GB2312"/>
                <w:sz w:val="32"/>
              </w:rPr>
              <w:t>AT</w:t>
            </w:r>
            <w:r>
              <w:rPr>
                <w:rFonts w:ascii="仿宋_GB2312" w:hAnsi="仿宋_GB2312" w:cs="仿宋_GB2312" w:eastAsia="仿宋_GB2312"/>
                <w:sz w:val="32"/>
              </w:rPr>
              <w:t>自动挡变速箱；额定载客人数≥</w:t>
            </w:r>
            <w:r>
              <w:rPr>
                <w:rFonts w:ascii="仿宋_GB2312" w:hAnsi="仿宋_GB2312" w:cs="仿宋_GB2312" w:eastAsia="仿宋_GB2312"/>
                <w:sz w:val="32"/>
              </w:rPr>
              <w:t>5</w:t>
            </w:r>
            <w:r>
              <w:rPr>
                <w:rFonts w:ascii="仿宋_GB2312" w:hAnsi="仿宋_GB2312" w:cs="仿宋_GB2312" w:eastAsia="仿宋_GB2312"/>
                <w:sz w:val="32"/>
              </w:rPr>
              <w:t>人（含驾驶员）。</w:t>
            </w:r>
          </w:p>
          <w:p>
            <w:pPr>
              <w:pStyle w:val="null3"/>
              <w:ind w:firstLine="640"/>
              <w:jc w:val="both"/>
            </w:pPr>
            <w:r>
              <w:rPr>
                <w:rFonts w:ascii="仿宋_GB2312" w:hAnsi="仿宋_GB2312" w:cs="仿宋_GB2312" w:eastAsia="仿宋_GB2312"/>
                <w:sz w:val="32"/>
              </w:rPr>
              <w:t>改装与上牌要求：采用车载式承载方式。供应商需负责车辆改装、上牌及检测服务，保证在商洛市车管所正常上牌，并承担相关费用。</w:t>
            </w:r>
          </w:p>
          <w:p>
            <w:pPr>
              <w:pStyle w:val="null3"/>
              <w:ind w:firstLine="640"/>
              <w:jc w:val="both"/>
            </w:pPr>
            <w:r>
              <w:rPr>
                <w:rFonts w:ascii="仿宋_GB2312" w:hAnsi="仿宋_GB2312" w:cs="仿宋_GB2312" w:eastAsia="仿宋_GB2312"/>
                <w:sz w:val="32"/>
              </w:rPr>
              <w:t>性能要求：最小离地间隙</w:t>
            </w:r>
            <w:r>
              <w:rPr>
                <w:rFonts w:ascii="仿宋_GB2312" w:hAnsi="仿宋_GB2312" w:cs="仿宋_GB2312" w:eastAsia="仿宋_GB2312"/>
                <w:sz w:val="32"/>
              </w:rPr>
              <w:t>&gt;17cm</w:t>
            </w:r>
            <w:r>
              <w:rPr>
                <w:rFonts w:ascii="仿宋_GB2312" w:hAnsi="仿宋_GB2312" w:cs="仿宋_GB2312" w:eastAsia="仿宋_GB2312"/>
                <w:sz w:val="32"/>
              </w:rPr>
              <w:t>，适应野外及路况较差路段的检测作业。</w:t>
            </w:r>
          </w:p>
          <w:p>
            <w:pPr>
              <w:pStyle w:val="null3"/>
              <w:ind w:firstLine="640"/>
              <w:jc w:val="both"/>
            </w:pPr>
            <w:r>
              <w:rPr>
                <w:rFonts w:ascii="仿宋_GB2312" w:hAnsi="仿宋_GB2312" w:cs="仿宋_GB2312" w:eastAsia="仿宋_GB2312"/>
                <w:sz w:val="32"/>
              </w:rPr>
              <w:t>工作时长：要求满足不少于每日连续</w:t>
            </w:r>
            <w:r>
              <w:rPr>
                <w:rFonts w:ascii="仿宋_GB2312" w:hAnsi="仿宋_GB2312" w:cs="仿宋_GB2312" w:eastAsia="仿宋_GB2312"/>
                <w:sz w:val="32"/>
              </w:rPr>
              <w:t>8</w:t>
            </w:r>
            <w:r>
              <w:rPr>
                <w:rFonts w:ascii="仿宋_GB2312" w:hAnsi="仿宋_GB2312" w:cs="仿宋_GB2312" w:eastAsia="仿宋_GB2312"/>
                <w:sz w:val="32"/>
              </w:rPr>
              <w:t>小时的工作时长。</w:t>
            </w:r>
          </w:p>
          <w:p>
            <w:pPr>
              <w:pStyle w:val="null3"/>
              <w:ind w:firstLine="640"/>
              <w:jc w:val="both"/>
            </w:pPr>
            <w:r>
              <w:rPr>
                <w:rFonts w:ascii="仿宋_GB2312" w:hAnsi="仿宋_GB2312" w:cs="仿宋_GB2312" w:eastAsia="仿宋_GB2312"/>
                <w:sz w:val="32"/>
              </w:rPr>
              <w:t>（二）检测设备（落锤式弯沉仪</w:t>
            </w:r>
            <w:r>
              <w:rPr>
                <w:rFonts w:ascii="仿宋_GB2312" w:hAnsi="仿宋_GB2312" w:cs="仿宋_GB2312" w:eastAsia="仿宋_GB2312"/>
                <w:sz w:val="32"/>
              </w:rPr>
              <w:t>-FWD</w:t>
            </w:r>
            <w:r>
              <w:rPr>
                <w:rFonts w:ascii="仿宋_GB2312" w:hAnsi="仿宋_GB2312" w:cs="仿宋_GB2312" w:eastAsia="仿宋_GB2312"/>
                <w:sz w:val="32"/>
              </w:rPr>
              <w:t>）技术要求</w:t>
            </w:r>
          </w:p>
          <w:p>
            <w:pPr>
              <w:pStyle w:val="null3"/>
              <w:ind w:firstLine="640"/>
              <w:jc w:val="both"/>
            </w:pPr>
            <w:r>
              <w:rPr>
                <w:rFonts w:ascii="仿宋_GB2312" w:hAnsi="仿宋_GB2312" w:cs="仿宋_GB2312" w:eastAsia="仿宋_GB2312"/>
                <w:sz w:val="32"/>
              </w:rPr>
              <w:t>设备需符合《公路路基路面现场测试规程》（</w:t>
            </w:r>
            <w:r>
              <w:rPr>
                <w:rFonts w:ascii="仿宋_GB2312" w:hAnsi="仿宋_GB2312" w:cs="仿宋_GB2312" w:eastAsia="仿宋_GB2312"/>
                <w:sz w:val="32"/>
              </w:rPr>
              <w:t>JTG3450-2019</w:t>
            </w:r>
            <w:r>
              <w:rPr>
                <w:rFonts w:ascii="仿宋_GB2312" w:hAnsi="仿宋_GB2312" w:cs="仿宋_GB2312" w:eastAsia="仿宋_GB2312"/>
                <w:sz w:val="32"/>
              </w:rPr>
              <w:t>）相关要求，核心指标如下：</w:t>
            </w:r>
          </w:p>
          <w:p>
            <w:pPr>
              <w:pStyle w:val="null3"/>
              <w:ind w:firstLine="640"/>
              <w:jc w:val="both"/>
            </w:pPr>
            <w:r>
              <w:rPr>
                <w:rFonts w:ascii="仿宋_GB2312" w:hAnsi="仿宋_GB2312" w:cs="仿宋_GB2312" w:eastAsia="仿宋_GB2312"/>
                <w:sz w:val="32"/>
              </w:rPr>
              <w:t>弯沉传感器：数量不少于</w:t>
            </w:r>
            <w:r>
              <w:rPr>
                <w:rFonts w:ascii="仿宋_GB2312" w:hAnsi="仿宋_GB2312" w:cs="仿宋_GB2312" w:eastAsia="仿宋_GB2312"/>
                <w:sz w:val="32"/>
              </w:rPr>
              <w:t>7</w:t>
            </w:r>
            <w:r>
              <w:rPr>
                <w:rFonts w:ascii="仿宋_GB2312" w:hAnsi="仿宋_GB2312" w:cs="仿宋_GB2312" w:eastAsia="仿宋_GB2312"/>
                <w:sz w:val="32"/>
              </w:rPr>
              <w:t>只（含中心点），其中必须包含距离承载板中心</w:t>
            </w:r>
            <w:r>
              <w:rPr>
                <w:rFonts w:ascii="仿宋_GB2312" w:hAnsi="仿宋_GB2312" w:cs="仿宋_GB2312" w:eastAsia="仿宋_GB2312"/>
                <w:sz w:val="32"/>
              </w:rPr>
              <w:t>0mm</w:t>
            </w:r>
            <w:r>
              <w:rPr>
                <w:rFonts w:ascii="仿宋_GB2312" w:hAnsi="仿宋_GB2312" w:cs="仿宋_GB2312" w:eastAsia="仿宋_GB2312"/>
                <w:sz w:val="32"/>
              </w:rPr>
              <w:t>、</w:t>
            </w:r>
            <w:r>
              <w:rPr>
                <w:rFonts w:ascii="仿宋_GB2312" w:hAnsi="仿宋_GB2312" w:cs="仿宋_GB2312" w:eastAsia="仿宋_GB2312"/>
                <w:sz w:val="32"/>
              </w:rPr>
              <w:t>300mm</w:t>
            </w:r>
            <w:r>
              <w:rPr>
                <w:rFonts w:ascii="仿宋_GB2312" w:hAnsi="仿宋_GB2312" w:cs="仿宋_GB2312" w:eastAsia="仿宋_GB2312"/>
                <w:sz w:val="32"/>
              </w:rPr>
              <w:t>、</w:t>
            </w:r>
            <w:r>
              <w:rPr>
                <w:rFonts w:ascii="仿宋_GB2312" w:hAnsi="仿宋_GB2312" w:cs="仿宋_GB2312" w:eastAsia="仿宋_GB2312"/>
                <w:sz w:val="32"/>
              </w:rPr>
              <w:t>600mm</w:t>
            </w:r>
            <w:r>
              <w:rPr>
                <w:rFonts w:ascii="仿宋_GB2312" w:hAnsi="仿宋_GB2312" w:cs="仿宋_GB2312" w:eastAsia="仿宋_GB2312"/>
                <w:sz w:val="32"/>
              </w:rPr>
              <w:t>、</w:t>
            </w:r>
            <w:r>
              <w:rPr>
                <w:rFonts w:ascii="仿宋_GB2312" w:hAnsi="仿宋_GB2312" w:cs="仿宋_GB2312" w:eastAsia="仿宋_GB2312"/>
                <w:sz w:val="32"/>
              </w:rPr>
              <w:t>900mm</w:t>
            </w:r>
            <w:r>
              <w:rPr>
                <w:rFonts w:ascii="仿宋_GB2312" w:hAnsi="仿宋_GB2312" w:cs="仿宋_GB2312" w:eastAsia="仿宋_GB2312"/>
                <w:sz w:val="32"/>
              </w:rPr>
              <w:t>位置的传感器。</w:t>
            </w:r>
            <w:r>
              <w:rPr>
                <w:rFonts w:ascii="仿宋_GB2312" w:hAnsi="仿宋_GB2312" w:cs="仿宋_GB2312" w:eastAsia="仿宋_GB2312"/>
                <w:sz w:val="20"/>
              </w:rPr>
              <w:t xml:space="preserve"> </w:t>
            </w:r>
          </w:p>
          <w:p>
            <w:pPr>
              <w:pStyle w:val="null3"/>
              <w:ind w:firstLine="640"/>
              <w:jc w:val="both"/>
            </w:pPr>
            <w:r>
              <w:rPr>
                <w:rFonts w:ascii="仿宋_GB2312" w:hAnsi="仿宋_GB2312" w:cs="仿宋_GB2312" w:eastAsia="仿宋_GB2312"/>
                <w:sz w:val="32"/>
              </w:rPr>
              <w:t>量程：</w:t>
            </w:r>
            <w:r>
              <w:rPr>
                <w:rFonts w:ascii="仿宋_GB2312" w:hAnsi="仿宋_GB2312" w:cs="仿宋_GB2312" w:eastAsia="仿宋_GB2312"/>
                <w:sz w:val="32"/>
              </w:rPr>
              <w:t>-3000</w:t>
            </w:r>
            <w:r>
              <w:rPr>
                <w:rFonts w:ascii="仿宋_GB2312" w:hAnsi="仿宋_GB2312" w:cs="仿宋_GB2312" w:eastAsia="仿宋_GB2312"/>
                <w:sz w:val="32"/>
              </w:rPr>
              <w:t>μ</w:t>
            </w:r>
            <w:r>
              <w:rPr>
                <w:rFonts w:ascii="仿宋_GB2312" w:hAnsi="仿宋_GB2312" w:cs="仿宋_GB2312" w:eastAsia="仿宋_GB2312"/>
                <w:sz w:val="32"/>
              </w:rPr>
              <w:t>m</w:t>
            </w:r>
            <w:r>
              <w:rPr>
                <w:rFonts w:ascii="仿宋_GB2312" w:hAnsi="仿宋_GB2312" w:cs="仿宋_GB2312" w:eastAsia="仿宋_GB2312"/>
                <w:sz w:val="32"/>
              </w:rPr>
              <w:t>～</w:t>
            </w:r>
            <w:r>
              <w:rPr>
                <w:rFonts w:ascii="仿宋_GB2312" w:hAnsi="仿宋_GB2312" w:cs="仿宋_GB2312" w:eastAsia="仿宋_GB2312"/>
                <w:sz w:val="32"/>
              </w:rPr>
              <w:t>+3000</w:t>
            </w:r>
            <w:r>
              <w:rPr>
                <w:rFonts w:ascii="仿宋_GB2312" w:hAnsi="仿宋_GB2312" w:cs="仿宋_GB2312" w:eastAsia="仿宋_GB2312"/>
                <w:sz w:val="32"/>
              </w:rPr>
              <w:t>μ</w:t>
            </w:r>
            <w:r>
              <w:rPr>
                <w:rFonts w:ascii="仿宋_GB2312" w:hAnsi="仿宋_GB2312" w:cs="仿宋_GB2312" w:eastAsia="仿宋_GB2312"/>
                <w:sz w:val="32"/>
              </w:rPr>
              <w:t>m</w:t>
            </w:r>
            <w:r>
              <w:rPr>
                <w:rFonts w:ascii="仿宋_GB2312" w:hAnsi="仿宋_GB2312" w:cs="仿宋_GB2312" w:eastAsia="仿宋_GB2312"/>
                <w:sz w:val="32"/>
              </w:rPr>
              <w:t>；测试精度：优于±</w:t>
            </w:r>
            <w:r>
              <w:rPr>
                <w:rFonts w:ascii="仿宋_GB2312" w:hAnsi="仿宋_GB2312" w:cs="仿宋_GB2312" w:eastAsia="仿宋_GB2312"/>
                <w:sz w:val="32"/>
              </w:rPr>
              <w:t>2%</w:t>
            </w:r>
            <w:r>
              <w:rPr>
                <w:rFonts w:ascii="仿宋_GB2312" w:hAnsi="仿宋_GB2312" w:cs="仿宋_GB2312" w:eastAsia="仿宋_GB2312"/>
                <w:sz w:val="32"/>
              </w:rPr>
              <w:t>；位移分辨力：≤</w:t>
            </w:r>
            <w:r>
              <w:rPr>
                <w:rFonts w:ascii="仿宋_GB2312" w:hAnsi="仿宋_GB2312" w:cs="仿宋_GB2312" w:eastAsia="仿宋_GB2312"/>
                <w:sz w:val="32"/>
              </w:rPr>
              <w:t>0.001mm</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荷载系统：荷载范围：</w:t>
            </w:r>
            <w:r>
              <w:rPr>
                <w:rFonts w:ascii="仿宋_GB2312" w:hAnsi="仿宋_GB2312" w:cs="仿宋_GB2312" w:eastAsia="仿宋_GB2312"/>
                <w:sz w:val="32"/>
              </w:rPr>
              <w:t>25</w:t>
            </w:r>
            <w:r>
              <w:rPr>
                <w:rFonts w:ascii="仿宋_GB2312" w:hAnsi="仿宋_GB2312" w:cs="仿宋_GB2312" w:eastAsia="仿宋_GB2312"/>
                <w:sz w:val="32"/>
              </w:rPr>
              <w:t>～</w:t>
            </w:r>
            <w:r>
              <w:rPr>
                <w:rFonts w:ascii="仿宋_GB2312" w:hAnsi="仿宋_GB2312" w:cs="仿宋_GB2312" w:eastAsia="仿宋_GB2312"/>
                <w:sz w:val="32"/>
              </w:rPr>
              <w:t>120kN</w:t>
            </w:r>
            <w:r>
              <w:rPr>
                <w:rFonts w:ascii="仿宋_GB2312" w:hAnsi="仿宋_GB2312" w:cs="仿宋_GB2312" w:eastAsia="仿宋_GB2312"/>
                <w:sz w:val="32"/>
              </w:rPr>
              <w:t>，可分级施加；荷载测试精度：优于±</w:t>
            </w:r>
            <w:r>
              <w:rPr>
                <w:rFonts w:ascii="仿宋_GB2312" w:hAnsi="仿宋_GB2312" w:cs="仿宋_GB2312" w:eastAsia="仿宋_GB2312"/>
                <w:sz w:val="32"/>
              </w:rPr>
              <w:t>2%</w:t>
            </w:r>
            <w:r>
              <w:rPr>
                <w:rFonts w:ascii="仿宋_GB2312" w:hAnsi="仿宋_GB2312" w:cs="仿宋_GB2312" w:eastAsia="仿宋_GB2312"/>
                <w:sz w:val="32"/>
              </w:rPr>
              <w:t>；加载盘：直径</w:t>
            </w:r>
            <w:r>
              <w:rPr>
                <w:rFonts w:ascii="仿宋_GB2312" w:hAnsi="仿宋_GB2312" w:cs="仿宋_GB2312" w:eastAsia="仿宋_GB2312"/>
                <w:sz w:val="32"/>
              </w:rPr>
              <w:t>300mm</w:t>
            </w:r>
            <w:r>
              <w:rPr>
                <w:rFonts w:ascii="仿宋_GB2312" w:hAnsi="仿宋_GB2312" w:cs="仿宋_GB2312" w:eastAsia="仿宋_GB2312"/>
                <w:sz w:val="32"/>
              </w:rPr>
              <w:t>的四分式扇形盘，底部固定有橡胶片。荷载发生装置符合规程要求。</w:t>
            </w:r>
          </w:p>
          <w:p>
            <w:pPr>
              <w:pStyle w:val="null3"/>
              <w:ind w:firstLine="640"/>
              <w:jc w:val="both"/>
            </w:pPr>
            <w:r>
              <w:rPr>
                <w:rFonts w:ascii="仿宋_GB2312" w:hAnsi="仿宋_GB2312" w:cs="仿宋_GB2312" w:eastAsia="仿宋_GB2312"/>
                <w:sz w:val="32"/>
              </w:rPr>
              <w:t>辅助测量系统：温度传感器（量程</w:t>
            </w:r>
            <w:r>
              <w:rPr>
                <w:rFonts w:ascii="仿宋_GB2312" w:hAnsi="仿宋_GB2312" w:cs="仿宋_GB2312" w:eastAsia="仿宋_GB2312"/>
                <w:sz w:val="32"/>
              </w:rPr>
              <w:t>-20</w:t>
            </w:r>
            <w:r>
              <w:rPr>
                <w:rFonts w:ascii="仿宋_GB2312" w:hAnsi="仿宋_GB2312" w:cs="仿宋_GB2312" w:eastAsia="仿宋_GB2312"/>
                <w:sz w:val="32"/>
              </w:rPr>
              <w:t>℃～</w:t>
            </w:r>
            <w:r>
              <w:rPr>
                <w:rFonts w:ascii="仿宋_GB2312" w:hAnsi="仿宋_GB2312" w:cs="仿宋_GB2312" w:eastAsia="仿宋_GB2312"/>
                <w:sz w:val="32"/>
              </w:rPr>
              <w:t>100</w:t>
            </w:r>
            <w:r>
              <w:rPr>
                <w:rFonts w:ascii="仿宋_GB2312" w:hAnsi="仿宋_GB2312" w:cs="仿宋_GB2312" w:eastAsia="仿宋_GB2312"/>
                <w:sz w:val="32"/>
              </w:rPr>
              <w:t>℃，精度≤</w:t>
            </w:r>
            <w:r>
              <w:rPr>
                <w:rFonts w:ascii="仿宋_GB2312" w:hAnsi="仿宋_GB2312" w:cs="仿宋_GB2312" w:eastAsia="仿宋_GB2312"/>
                <w:sz w:val="32"/>
              </w:rPr>
              <w:t>0.5%</w:t>
            </w:r>
            <w:r>
              <w:rPr>
                <w:rFonts w:ascii="仿宋_GB2312" w:hAnsi="仿宋_GB2312" w:cs="仿宋_GB2312" w:eastAsia="仿宋_GB2312"/>
                <w:sz w:val="32"/>
              </w:rPr>
              <w:t>）；距离传感器（</w:t>
            </w:r>
            <w:r>
              <w:rPr>
                <w:rFonts w:ascii="仿宋_GB2312" w:hAnsi="仿宋_GB2312" w:cs="仿宋_GB2312" w:eastAsia="仿宋_GB2312"/>
                <w:sz w:val="32"/>
              </w:rPr>
              <w:t>DMI</w:t>
            </w:r>
            <w:r>
              <w:rPr>
                <w:rFonts w:ascii="仿宋_GB2312" w:hAnsi="仿宋_GB2312" w:cs="仿宋_GB2312" w:eastAsia="仿宋_GB2312"/>
                <w:sz w:val="32"/>
              </w:rPr>
              <w:t>，测量精度≤</w:t>
            </w:r>
            <w:r>
              <w:rPr>
                <w:rFonts w:ascii="仿宋_GB2312" w:hAnsi="仿宋_GB2312" w:cs="仿宋_GB2312" w:eastAsia="仿宋_GB2312"/>
                <w:sz w:val="32"/>
              </w:rPr>
              <w:t>0.1%</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控制系统：具备实时采集、记录冲击荷载及各点动态变形时程曲线的功能，软件具备数据分析、报告生成及后期升级能力。</w:t>
            </w:r>
          </w:p>
          <w:p>
            <w:pPr>
              <w:pStyle w:val="null3"/>
              <w:ind w:firstLine="640"/>
              <w:jc w:val="both"/>
            </w:pPr>
            <w:r>
              <w:rPr>
                <w:rFonts w:ascii="仿宋_GB2312" w:hAnsi="仿宋_GB2312" w:cs="仿宋_GB2312" w:eastAsia="仿宋_GB2312"/>
                <w:sz w:val="32"/>
              </w:rPr>
              <w:t>（三）商务及服务要求</w:t>
            </w:r>
          </w:p>
          <w:p>
            <w:pPr>
              <w:pStyle w:val="null3"/>
              <w:ind w:firstLine="640"/>
              <w:jc w:val="both"/>
            </w:pPr>
            <w:r>
              <w:rPr>
                <w:rFonts w:ascii="仿宋_GB2312" w:hAnsi="仿宋_GB2312" w:cs="仿宋_GB2312" w:eastAsia="仿宋_GB2312"/>
                <w:sz w:val="32"/>
              </w:rPr>
              <w:t>交付时间：合同签订后</w:t>
            </w:r>
            <w:r>
              <w:rPr>
                <w:rFonts w:ascii="仿宋_GB2312" w:hAnsi="仿宋_GB2312" w:cs="仿宋_GB2312" w:eastAsia="仿宋_GB2312"/>
                <w:sz w:val="32"/>
              </w:rPr>
              <w:t>15</w:t>
            </w:r>
            <w:r>
              <w:rPr>
                <w:rFonts w:ascii="仿宋_GB2312" w:hAnsi="仿宋_GB2312" w:cs="仿宋_GB2312" w:eastAsia="仿宋_GB2312"/>
                <w:sz w:val="32"/>
              </w:rPr>
              <w:t>日历天内完成供货、改装、调试及验收。</w:t>
            </w:r>
          </w:p>
          <w:p>
            <w:pPr>
              <w:pStyle w:val="null3"/>
              <w:ind w:firstLine="640"/>
              <w:jc w:val="both"/>
            </w:pPr>
            <w:r>
              <w:rPr>
                <w:rFonts w:ascii="仿宋_GB2312" w:hAnsi="仿宋_GB2312" w:cs="仿宋_GB2312" w:eastAsia="仿宋_GB2312"/>
                <w:sz w:val="32"/>
              </w:rPr>
              <w:t>质保期：整车及检测设备免费质保期不少于</w:t>
            </w:r>
            <w:r>
              <w:rPr>
                <w:rFonts w:ascii="仿宋_GB2312" w:hAnsi="仿宋_GB2312" w:cs="仿宋_GB2312" w:eastAsia="仿宋_GB2312"/>
                <w:sz w:val="32"/>
              </w:rPr>
              <w:t>2</w:t>
            </w:r>
            <w:r>
              <w:rPr>
                <w:rFonts w:ascii="仿宋_GB2312" w:hAnsi="仿宋_GB2312" w:cs="仿宋_GB2312" w:eastAsia="仿宋_GB2312"/>
                <w:sz w:val="32"/>
              </w:rPr>
              <w:t>年（从最终验收合格之日起计算）。</w:t>
            </w:r>
          </w:p>
          <w:p>
            <w:pPr>
              <w:pStyle w:val="null3"/>
              <w:ind w:firstLine="640"/>
              <w:jc w:val="both"/>
            </w:pPr>
            <w:r>
              <w:rPr>
                <w:rFonts w:ascii="仿宋_GB2312" w:hAnsi="仿宋_GB2312" w:cs="仿宋_GB2312" w:eastAsia="仿宋_GB2312"/>
                <w:sz w:val="32"/>
              </w:rPr>
              <w:t>加装要求：</w:t>
            </w:r>
            <w:r>
              <w:rPr>
                <w:rFonts w:ascii="仿宋_GB2312" w:hAnsi="仿宋_GB2312" w:cs="仿宋_GB2312" w:eastAsia="仿宋_GB2312"/>
                <w:sz w:val="32"/>
                <w:b/>
              </w:rPr>
              <w:t>供应商承诺加装我单位现有路面平整度检测仪器（激光平整度仪</w:t>
            </w:r>
            <w:r>
              <w:rPr>
                <w:rFonts w:ascii="仿宋_GB2312" w:hAnsi="仿宋_GB2312" w:cs="仿宋_GB2312" w:eastAsia="仿宋_GB2312"/>
                <w:sz w:val="32"/>
                <w:b/>
              </w:rPr>
              <w:t>JG-0711P</w:t>
            </w:r>
            <w:r>
              <w:rPr>
                <w:rFonts w:ascii="仿宋_GB2312" w:hAnsi="仿宋_GB2312" w:cs="仿宋_GB2312" w:eastAsia="仿宋_GB2312"/>
                <w:sz w:val="32"/>
                <w:b/>
              </w:rPr>
              <w:t>），加装产生相关费用由供应商承担。</w:t>
            </w:r>
          </w:p>
          <w:p>
            <w:pPr>
              <w:pStyle w:val="null3"/>
              <w:ind w:firstLine="640"/>
              <w:jc w:val="both"/>
            </w:pPr>
            <w:r>
              <w:rPr>
                <w:rFonts w:ascii="仿宋_GB2312" w:hAnsi="仿宋_GB2312" w:cs="仿宋_GB2312" w:eastAsia="仿宋_GB2312"/>
                <w:sz w:val="32"/>
              </w:rPr>
              <w:t>售后服务：供应商需提供</w:t>
            </w:r>
            <w:r>
              <w:rPr>
                <w:rFonts w:ascii="仿宋_GB2312" w:hAnsi="仿宋_GB2312" w:cs="仿宋_GB2312" w:eastAsia="仿宋_GB2312"/>
                <w:sz w:val="32"/>
              </w:rPr>
              <w:t>7</w:t>
            </w:r>
            <w:r>
              <w:rPr>
                <w:rFonts w:ascii="仿宋_GB2312" w:hAnsi="仿宋_GB2312" w:cs="仿宋_GB2312" w:eastAsia="仿宋_GB2312"/>
                <w:sz w:val="32"/>
              </w:rPr>
              <w:t>×</w:t>
            </w:r>
            <w:r>
              <w:rPr>
                <w:rFonts w:ascii="仿宋_GB2312" w:hAnsi="仿宋_GB2312" w:cs="仿宋_GB2312" w:eastAsia="仿宋_GB2312"/>
                <w:sz w:val="32"/>
              </w:rPr>
              <w:t>24</w:t>
            </w:r>
            <w:r>
              <w:rPr>
                <w:rFonts w:ascii="仿宋_GB2312" w:hAnsi="仿宋_GB2312" w:cs="仿宋_GB2312" w:eastAsia="仿宋_GB2312"/>
                <w:sz w:val="32"/>
              </w:rPr>
              <w:t>小时响应服务。接到报修通知后，应在</w:t>
            </w:r>
            <w:r>
              <w:rPr>
                <w:rFonts w:ascii="仿宋_GB2312" w:hAnsi="仿宋_GB2312" w:cs="仿宋_GB2312" w:eastAsia="仿宋_GB2312"/>
                <w:sz w:val="32"/>
              </w:rPr>
              <w:t>2</w:t>
            </w:r>
            <w:r>
              <w:rPr>
                <w:rFonts w:ascii="仿宋_GB2312" w:hAnsi="仿宋_GB2312" w:cs="仿宋_GB2312" w:eastAsia="仿宋_GB2312"/>
                <w:sz w:val="32"/>
              </w:rPr>
              <w:t>小时内响应，</w:t>
            </w:r>
            <w:r>
              <w:rPr>
                <w:rFonts w:ascii="仿宋_GB2312" w:hAnsi="仿宋_GB2312" w:cs="仿宋_GB2312" w:eastAsia="仿宋_GB2312"/>
                <w:sz w:val="32"/>
              </w:rPr>
              <w:t>48</w:t>
            </w:r>
            <w:r>
              <w:rPr>
                <w:rFonts w:ascii="仿宋_GB2312" w:hAnsi="仿宋_GB2312" w:cs="仿宋_GB2312" w:eastAsia="仿宋_GB2312"/>
                <w:sz w:val="32"/>
              </w:rPr>
              <w:t>小时内派员到达现场处理。在质保期内非需方人为原因发生的质量问题，由供方负责及时包修包换，并承担由此发生的一切费用。</w:t>
            </w:r>
          </w:p>
          <w:p>
            <w:pPr>
              <w:pStyle w:val="null3"/>
              <w:ind w:firstLine="640"/>
              <w:jc w:val="both"/>
            </w:pPr>
            <w:r>
              <w:rPr>
                <w:rFonts w:ascii="仿宋_GB2312" w:hAnsi="仿宋_GB2312" w:cs="仿宋_GB2312" w:eastAsia="仿宋_GB2312"/>
                <w:sz w:val="32"/>
              </w:rPr>
              <w:t>培训要求：提供不少于</w:t>
            </w:r>
            <w:r>
              <w:rPr>
                <w:rFonts w:ascii="仿宋_GB2312" w:hAnsi="仿宋_GB2312" w:cs="仿宋_GB2312" w:eastAsia="仿宋_GB2312"/>
                <w:sz w:val="32"/>
              </w:rPr>
              <w:t>3</w:t>
            </w:r>
            <w:r>
              <w:rPr>
                <w:rFonts w:ascii="仿宋_GB2312" w:hAnsi="仿宋_GB2312" w:cs="仿宋_GB2312" w:eastAsia="仿宋_GB2312"/>
                <w:sz w:val="32"/>
              </w:rPr>
              <w:t>天的现场培训，内容包括设备操作、日常维护、常见故障排除及检测数据分析软件使用，确保采购方人员能独立操作。</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合同签订后15日内完成供货、协助办理车辆购置相关手续，并通过采购人验收。</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陕西省商洛市商州区通信路市交通运输局4楼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进度款，弯沉检测车辆及相关设备验收合格 ，达到付款条件起15个工作日内，支付合同总金额的95.0%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进度款，两年质保期满后 ，达到付款条件起7个工作日内，支付合同总金额的5.0%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验收方案 出厂预验收：在供应商集成地进行，重点核查底盘改装、设备安装、软件配置及初步性能测试是否符合合同承诺。 现场最终验收：设备运抵商洛指定地点后，完成安装调试。 计量检定：必须由具备资质的第三方计量检测机构进行检定/校准，出具合格证书，作为最终验收通过的必备条件。 验收报告：由验收小组（含技术、纪检、财务人员）共同签署验收报告后生效。 支付与交付：验收合格、收到供应商发票后，按合同约定支付款项，项目正式交付使用。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整车及检测设备免费质保期不少于2年（从最终验收合格之日起计算）。</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如发生违约及时协商沟通，必要时采取法律手段。</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主体资格合法有效</w:t>
            </w:r>
          </w:p>
        </w:tc>
        <w:tc>
          <w:tcPr>
            <w:tcW w:type="dxa" w:w="3322"/>
          </w:tcPr>
          <w:p>
            <w:pPr>
              <w:pStyle w:val="null3"/>
            </w:pPr>
            <w:r>
              <w:rPr>
                <w:rFonts w:ascii="仿宋_GB2312" w:hAnsi="仿宋_GB2312" w:cs="仿宋_GB2312" w:eastAsia="仿宋_GB2312"/>
              </w:rPr>
              <w:t>供应商须在中华人民共和国境内注册，依法取得并有效存续的营业执照（或事业单位法人证书\民办非企业单位登记证书\非企业专业服务机构执业许可证等主体资格证书）。供应商须在项目电子化采购系统中提交主体资格证书（根据企业类型、性质选择其一）原件的扫描件，并完成电子签章。</w:t>
            </w:r>
          </w:p>
        </w:tc>
        <w:tc>
          <w:tcPr>
            <w:tcW w:type="dxa" w:w="1661"/>
          </w:tcPr>
          <w:p>
            <w:pPr>
              <w:pStyle w:val="null3"/>
            </w:pPr>
            <w:r>
              <w:rPr>
                <w:rFonts w:ascii="仿宋_GB2312" w:hAnsi="仿宋_GB2312" w:cs="仿宋_GB2312" w:eastAsia="仿宋_GB2312"/>
              </w:rPr>
              <w:t>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具有良好的财务状况</w:t>
            </w:r>
          </w:p>
        </w:tc>
        <w:tc>
          <w:tcPr>
            <w:tcW w:type="dxa" w:w="3322"/>
          </w:tcPr>
          <w:p>
            <w:pPr>
              <w:pStyle w:val="null3"/>
            </w:pPr>
            <w:r>
              <w:rPr>
                <w:rFonts w:ascii="仿宋_GB2312" w:hAnsi="仿宋_GB2312" w:cs="仿宋_GB2312" w:eastAsia="仿宋_GB2312"/>
              </w:rPr>
              <w:t>供应商须具有良好的财务状况，并须在项目电子化交易系统中提交2025 年度经第三方机构审计的财务报告（成立时间至提交响应文件截止时间不足一年的可提供成立后任意时段的资产负债表），或项目采购公告发布前3个月其基本存款账户开户银行出具的资信证明，并进行电子签章。</w:t>
            </w:r>
          </w:p>
        </w:tc>
        <w:tc>
          <w:tcPr>
            <w:tcW w:type="dxa" w:w="1661"/>
          </w:tcPr>
          <w:p>
            <w:pPr>
              <w:pStyle w:val="null3"/>
            </w:pPr>
            <w:r>
              <w:rPr>
                <w:rFonts w:ascii="仿宋_GB2312" w:hAnsi="仿宋_GB2312" w:cs="仿宋_GB2312" w:eastAsia="仿宋_GB2312"/>
              </w:rPr>
              <w:t>财务状况证明.docx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具有良好的税收缴纳记录</w:t>
            </w:r>
          </w:p>
        </w:tc>
        <w:tc>
          <w:tcPr>
            <w:tcW w:type="dxa" w:w="3322"/>
          </w:tcPr>
          <w:p>
            <w:pPr>
              <w:pStyle w:val="null3"/>
            </w:pPr>
            <w:r>
              <w:rPr>
                <w:rFonts w:ascii="仿宋_GB2312" w:hAnsi="仿宋_GB2312" w:cs="仿宋_GB2312" w:eastAsia="仿宋_GB2312"/>
              </w:rPr>
              <w:t>供应商须具有良好的税收缴纳记录，并须在项目电子化交易系统中提交2025年以来内任意一个月的缴纳税收凭据（时间以税款所属日期为准、税种须同时包含增值税和企业所得税，凭据须有税务机关或代收机关的公章或业务专用章，依法免税或无须缴纳税收应提供相应证明文件），并完成电子签章。</w:t>
            </w:r>
          </w:p>
        </w:tc>
        <w:tc>
          <w:tcPr>
            <w:tcW w:type="dxa" w:w="1661"/>
          </w:tcPr>
          <w:p>
            <w:pPr>
              <w:pStyle w:val="null3"/>
            </w:pPr>
            <w:r>
              <w:rPr>
                <w:rFonts w:ascii="仿宋_GB2312" w:hAnsi="仿宋_GB2312" w:cs="仿宋_GB2312" w:eastAsia="仿宋_GB2312"/>
              </w:rPr>
              <w:t>税收缴纳记录证明.docx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具有良好的社会保障资金缴纳记录</w:t>
            </w:r>
          </w:p>
        </w:tc>
        <w:tc>
          <w:tcPr>
            <w:tcW w:type="dxa" w:w="3322"/>
          </w:tcPr>
          <w:p>
            <w:pPr>
              <w:pStyle w:val="null3"/>
            </w:pPr>
            <w:r>
              <w:rPr>
                <w:rFonts w:ascii="仿宋_GB2312" w:hAnsi="仿宋_GB2312" w:cs="仿宋_GB2312" w:eastAsia="仿宋_GB2312"/>
              </w:rPr>
              <w:t>供应商须具有良好的社会保障资金缴纳记录，并须在项目电子化交易系统中提交2025年以来内任意一个月的社会保障资金缴存单据或社保机构开具的社会保险参保缴费情况证明，依法不需要缴纳社会保障资金的须提供相关证明文件，并完成电子签章。</w:t>
            </w:r>
          </w:p>
        </w:tc>
        <w:tc>
          <w:tcPr>
            <w:tcW w:type="dxa" w:w="1661"/>
          </w:tcPr>
          <w:p>
            <w:pPr>
              <w:pStyle w:val="null3"/>
            </w:pPr>
            <w:r>
              <w:rPr>
                <w:rFonts w:ascii="仿宋_GB2312" w:hAnsi="仿宋_GB2312" w:cs="仿宋_GB2312" w:eastAsia="仿宋_GB2312"/>
              </w:rPr>
              <w:t>社会保障资金缴纳记录证明.docx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近三年内在经营活动中无重大违法记录</w:t>
            </w:r>
          </w:p>
        </w:tc>
        <w:tc>
          <w:tcPr>
            <w:tcW w:type="dxa" w:w="3322"/>
          </w:tcPr>
          <w:p>
            <w:pPr>
              <w:pStyle w:val="null3"/>
            </w:pPr>
            <w:r>
              <w:rPr>
                <w:rFonts w:ascii="仿宋_GB2312" w:hAnsi="仿宋_GB2312" w:cs="仿宋_GB2312" w:eastAsia="仿宋_GB2312"/>
              </w:rPr>
              <w:t>供应商近三年内在经营活动中须无重大违法记录，并须在项目电子化交易系统中提交近三年内在经营活动中无重大违法记录声明函，且近三年内在经营活动中无重大违法记录，并完成电子签章。</w:t>
            </w:r>
          </w:p>
        </w:tc>
        <w:tc>
          <w:tcPr>
            <w:tcW w:type="dxa" w:w="1661"/>
          </w:tcPr>
          <w:p>
            <w:pPr>
              <w:pStyle w:val="null3"/>
            </w:pPr>
            <w:r>
              <w:rPr>
                <w:rFonts w:ascii="仿宋_GB2312" w:hAnsi="仿宋_GB2312" w:cs="仿宋_GB2312" w:eastAsia="仿宋_GB2312"/>
              </w:rPr>
              <w:t>无重大违法记录声明.docx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信用记录声明及查询合法有效</w:t>
            </w:r>
          </w:p>
        </w:tc>
        <w:tc>
          <w:tcPr>
            <w:tcW w:type="dxa" w:w="3322"/>
          </w:tcPr>
          <w:p>
            <w:pPr>
              <w:pStyle w:val="null3"/>
            </w:pPr>
            <w:r>
              <w:rPr>
                <w:rFonts w:ascii="仿宋_GB2312" w:hAnsi="仿宋_GB2312" w:cs="仿宋_GB2312" w:eastAsia="仿宋_GB2312"/>
              </w:rPr>
              <w:t>供应商未被信用中国网站（http://www.creditchina.gov.cn）列入信用记录失信被执行人、重大税收违法案件当事人名单，未被中国政府采购网（http://www.ccgp.gov.cn）列为政府采购严重违法失信行为记录名单、未被禁止参加政府采购活动。供应商须在项目电子化交易系统中提交信用记录声明函，并完成电子签章。采购人及采购代理机构将在开标后对供应商的信用记录进行查询并下载查询报告及截图保存，存在不良信用记录的，按无效响应处理。</w:t>
            </w:r>
          </w:p>
        </w:tc>
        <w:tc>
          <w:tcPr>
            <w:tcW w:type="dxa" w:w="1661"/>
          </w:tcPr>
          <w:p>
            <w:pPr>
              <w:pStyle w:val="null3"/>
            </w:pPr>
            <w:r>
              <w:rPr>
                <w:rFonts w:ascii="仿宋_GB2312" w:hAnsi="仿宋_GB2312" w:cs="仿宋_GB2312" w:eastAsia="仿宋_GB2312"/>
              </w:rPr>
              <w:t>信用记录声明函.docx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法定代表人授权书合法有效</w:t>
            </w:r>
          </w:p>
        </w:tc>
        <w:tc>
          <w:tcPr>
            <w:tcW w:type="dxa" w:w="3322"/>
          </w:tcPr>
          <w:p>
            <w:pPr>
              <w:pStyle w:val="null3"/>
            </w:pPr>
            <w:r>
              <w:rPr>
                <w:rFonts w:ascii="仿宋_GB2312" w:hAnsi="仿宋_GB2312" w:cs="仿宋_GB2312" w:eastAsia="仿宋_GB2312"/>
              </w:rPr>
              <w:t>供应商法定代表人直接参加谈判的须提供本人身份证、法定代表人身份证明书，法定代表人授权代表参加谈判的须提供法定代表人授权书、被授权人身份证，并须在项目电子化交易系统中提交法定代表人身份证、法定代表人身份证明书（或法定代表人授权书、被授权人身份证）原件的扫描件，并完成电子签章。</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业绩证明文件合法有效</w:t>
            </w:r>
          </w:p>
        </w:tc>
        <w:tc>
          <w:tcPr>
            <w:tcW w:type="dxa" w:w="3322"/>
          </w:tcPr>
          <w:p>
            <w:pPr>
              <w:pStyle w:val="null3"/>
            </w:pPr>
            <w:r>
              <w:rPr>
                <w:rFonts w:ascii="仿宋_GB2312" w:hAnsi="仿宋_GB2312" w:cs="仿宋_GB2312" w:eastAsia="仿宋_GB2312"/>
              </w:rPr>
              <w:t>供应商近三年须具有类似项目业绩，并须在项目电子化交易系统中提交业绩证明材料（合同、验收报告原件的扫描件），并完成电子签章。</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生产厂商声明或授权书合法有效</w:t>
            </w:r>
          </w:p>
        </w:tc>
        <w:tc>
          <w:tcPr>
            <w:tcW w:type="dxa" w:w="3322"/>
          </w:tcPr>
          <w:p>
            <w:pPr>
              <w:pStyle w:val="null3"/>
            </w:pPr>
            <w:r>
              <w:rPr>
                <w:rFonts w:ascii="仿宋_GB2312" w:hAnsi="仿宋_GB2312" w:cs="仿宋_GB2312" w:eastAsia="仿宋_GB2312"/>
              </w:rPr>
              <w:t>供应商必须是所响应FWD设备的生产厂商或取得生产厂商针对本项目出具的合法有效授权的经销商，生产厂商参加响应的须在项目电子化交易系统中提交生产厂商声明函（经销商参加响应的须提交生产厂商针对本项目出具的合法有效授权书），并完成电子签章。</w:t>
            </w:r>
          </w:p>
        </w:tc>
        <w:tc>
          <w:tcPr>
            <w:tcW w:type="dxa" w:w="1661"/>
          </w:tcPr>
          <w:p>
            <w:pPr>
              <w:pStyle w:val="null3"/>
            </w:pPr>
            <w:r>
              <w:rPr>
                <w:rFonts w:ascii="仿宋_GB2312" w:hAnsi="仿宋_GB2312" w:cs="仿宋_GB2312" w:eastAsia="仿宋_GB2312"/>
              </w:rPr>
              <w:t>生产厂商声明函或生产厂商授权书.docx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控股关系承诺合法有效</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同一合同项下政府采购活动。供应商须在项目电子化交易系统中提交“单位负责人为同一人或者存在直接控股、管理关系的不同供应商，不得同时参加本项目同一合同项下的政府采购活动的承诺书”原件的扫描件，并完成电子签章。</w:t>
            </w:r>
          </w:p>
        </w:tc>
        <w:tc>
          <w:tcPr>
            <w:tcW w:type="dxa" w:w="1661"/>
          </w:tcPr>
          <w:p>
            <w:pPr>
              <w:pStyle w:val="null3"/>
            </w:pPr>
            <w:r>
              <w:rPr>
                <w:rFonts w:ascii="仿宋_GB2312" w:hAnsi="仿宋_GB2312" w:cs="仿宋_GB2312" w:eastAsia="仿宋_GB2312"/>
              </w:rPr>
              <w:t>控股管理关系承诺函.docx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非联合体不分包响应声明</w:t>
            </w:r>
          </w:p>
        </w:tc>
        <w:tc>
          <w:tcPr>
            <w:tcW w:type="dxa" w:w="3322"/>
          </w:tcPr>
          <w:p>
            <w:pPr>
              <w:pStyle w:val="null3"/>
            </w:pPr>
            <w:r>
              <w:rPr>
                <w:rFonts w:ascii="仿宋_GB2312" w:hAnsi="仿宋_GB2312" w:cs="仿宋_GB2312" w:eastAsia="仿宋_GB2312"/>
              </w:rPr>
              <w:t>本项目不接受联合体响应，供应商须以一个独立的法人实体参加响应。供应商须在项目电子化交易系统中提交“非联合体不分包响应声明函”原件的扫描件，并完成电子签章。</w:t>
            </w:r>
          </w:p>
        </w:tc>
        <w:tc>
          <w:tcPr>
            <w:tcW w:type="dxa" w:w="1661"/>
          </w:tcPr>
          <w:p>
            <w:pPr>
              <w:pStyle w:val="null3"/>
            </w:pPr>
            <w:r>
              <w:rPr>
                <w:rFonts w:ascii="仿宋_GB2312" w:hAnsi="仿宋_GB2312" w:cs="仿宋_GB2312" w:eastAsia="仿宋_GB2312"/>
              </w:rPr>
              <w:t>非联合体不分包响应声明函.docx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响应文件的签字、盖章及有效期</w:t>
            </w:r>
          </w:p>
        </w:tc>
        <w:tc>
          <w:tcPr>
            <w:tcW w:type="dxa" w:w="3322"/>
          </w:tcPr>
          <w:p>
            <w:pPr>
              <w:pStyle w:val="null3"/>
            </w:pPr>
            <w:r>
              <w:rPr>
                <w:rFonts w:ascii="仿宋_GB2312" w:hAnsi="仿宋_GB2312" w:cs="仿宋_GB2312" w:eastAsia="仿宋_GB2312"/>
              </w:rPr>
              <w:t>响应文件中的签字、盖章必须齐全、完整，响应函上须明确标明响应文件的有效期。响应文件签字、盖章不完整，有效期不符合要求的，符合性审查不予通过。</w:t>
            </w:r>
          </w:p>
        </w:tc>
        <w:tc>
          <w:tcPr>
            <w:tcW w:type="dxa" w:w="1661"/>
          </w:tcPr>
          <w:p>
            <w:pPr>
              <w:pStyle w:val="null3"/>
            </w:pPr>
            <w:r>
              <w:rPr>
                <w:rFonts w:ascii="仿宋_GB2312" w:hAnsi="仿宋_GB2312" w:cs="仿宋_GB2312" w:eastAsia="仿宋_GB2312"/>
              </w:rPr>
              <w:t>响应文件封面 响应函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响应报价不得超过项目预算价，否则符合性审查不予通过。</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技术响应方案</w:t>
            </w:r>
          </w:p>
        </w:tc>
        <w:tc>
          <w:tcPr>
            <w:tcW w:type="dxa" w:w="3322"/>
          </w:tcPr>
          <w:p>
            <w:pPr>
              <w:pStyle w:val="null3"/>
            </w:pPr>
            <w:r>
              <w:rPr>
                <w:rFonts w:ascii="仿宋_GB2312" w:hAnsi="仿宋_GB2312" w:cs="仿宋_GB2312" w:eastAsia="仿宋_GB2312"/>
              </w:rPr>
              <w:t>供应商须对第三章《谈判项目技术、服务、商务及其他要求》中的技术参数及性能指标作出实质性响应，未实质性响应的，符合性审查不予通过。</w:t>
            </w:r>
          </w:p>
        </w:tc>
        <w:tc>
          <w:tcPr>
            <w:tcW w:type="dxa" w:w="1661"/>
          </w:tcPr>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商务响应方案</w:t>
            </w:r>
          </w:p>
        </w:tc>
        <w:tc>
          <w:tcPr>
            <w:tcW w:type="dxa" w:w="3322"/>
          </w:tcPr>
          <w:p>
            <w:pPr>
              <w:pStyle w:val="null3"/>
            </w:pPr>
            <w:r>
              <w:rPr>
                <w:rFonts w:ascii="仿宋_GB2312" w:hAnsi="仿宋_GB2312" w:cs="仿宋_GB2312" w:eastAsia="仿宋_GB2312"/>
              </w:rPr>
              <w:t>供应商须对第三章《谈判项目技术、服务、商务及其他要求》中的技商务要求作出实质性响应，未实质性响应的，符合性审查不予通过。</w:t>
            </w:r>
          </w:p>
        </w:tc>
        <w:tc>
          <w:tcPr>
            <w:tcW w:type="dxa" w:w="1661"/>
          </w:tcPr>
          <w:p>
            <w:pPr>
              <w:pStyle w:val="null3"/>
            </w:pPr>
            <w:r>
              <w:rPr>
                <w:rFonts w:ascii="仿宋_GB2312" w:hAnsi="仿宋_GB2312" w:cs="仿宋_GB2312" w:eastAsia="仿宋_GB2312"/>
              </w:rPr>
              <w:t>商务响应方案.docx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供应商承诺</w:t>
            </w:r>
          </w:p>
        </w:tc>
        <w:tc>
          <w:tcPr>
            <w:tcW w:type="dxa" w:w="3322"/>
          </w:tcPr>
          <w:p>
            <w:pPr>
              <w:pStyle w:val="null3"/>
            </w:pPr>
            <w:r>
              <w:rPr>
                <w:rFonts w:ascii="仿宋_GB2312" w:hAnsi="仿宋_GB2312" w:cs="仿宋_GB2312" w:eastAsia="仿宋_GB2312"/>
              </w:rPr>
              <w:t>供应商须按要求完成相关承诺，未进行相关承诺的，符合性审查不予通过。</w:t>
            </w:r>
          </w:p>
        </w:tc>
        <w:tc>
          <w:tcPr>
            <w:tcW w:type="dxa" w:w="1661"/>
          </w:tcPr>
          <w:p>
            <w:pPr>
              <w:pStyle w:val="null3"/>
            </w:pPr>
            <w:r>
              <w:rPr>
                <w:rFonts w:ascii="仿宋_GB2312" w:hAnsi="仿宋_GB2312" w:cs="仿宋_GB2312" w:eastAsia="仿宋_GB2312"/>
              </w:rPr>
              <w:t>供应商承诺书（一）.docx 供应商承诺书（二）.docx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不专门面向中小企业采购的采购项目，对小微企业报价给予10%的价格扣除，用扣除后的价格参加评审。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详见附件：主体资格证明文件.docx</w:t>
      </w:r>
    </w:p>
    <w:p>
      <w:pPr>
        <w:pStyle w:val="null3"/>
        <w:ind w:firstLine="960"/>
      </w:pPr>
      <w:r>
        <w:rPr>
          <w:rFonts w:ascii="仿宋_GB2312" w:hAnsi="仿宋_GB2312" w:cs="仿宋_GB2312" w:eastAsia="仿宋_GB2312"/>
        </w:rPr>
        <w:t>详见附件：控股管理关系承诺函.docx</w:t>
      </w:r>
    </w:p>
    <w:p>
      <w:pPr>
        <w:pStyle w:val="null3"/>
        <w:ind w:firstLine="960"/>
      </w:pPr>
      <w:r>
        <w:rPr>
          <w:rFonts w:ascii="仿宋_GB2312" w:hAnsi="仿宋_GB2312" w:cs="仿宋_GB2312" w:eastAsia="仿宋_GB2312"/>
        </w:rPr>
        <w:t>详见附件：无重大违法记录声明.docx</w:t>
      </w:r>
    </w:p>
    <w:p>
      <w:pPr>
        <w:pStyle w:val="null3"/>
        <w:ind w:firstLine="960"/>
      </w:pPr>
      <w:r>
        <w:rPr>
          <w:rFonts w:ascii="仿宋_GB2312" w:hAnsi="仿宋_GB2312" w:cs="仿宋_GB2312" w:eastAsia="仿宋_GB2312"/>
        </w:rPr>
        <w:t>详见附件：信用记录声明函.docx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详见附件：业绩证明文件.docx</w:t>
      </w:r>
    </w:p>
    <w:p>
      <w:pPr>
        <w:pStyle w:val="null3"/>
        <w:ind w:firstLine="960"/>
      </w:pPr>
      <w:r>
        <w:rPr>
          <w:rFonts w:ascii="仿宋_GB2312" w:hAnsi="仿宋_GB2312" w:cs="仿宋_GB2312" w:eastAsia="仿宋_GB2312"/>
        </w:rPr>
        <w:t>详见附件：非联合体不分包响应声明函.docx</w:t>
      </w:r>
    </w:p>
    <w:p>
      <w:pPr>
        <w:pStyle w:val="null3"/>
        <w:ind w:firstLine="960"/>
      </w:pPr>
      <w:r>
        <w:rPr>
          <w:rFonts w:ascii="仿宋_GB2312" w:hAnsi="仿宋_GB2312" w:cs="仿宋_GB2312" w:eastAsia="仿宋_GB2312"/>
        </w:rPr>
        <w:t>详见附件：商务响应方案.docx</w:t>
      </w:r>
    </w:p>
    <w:p>
      <w:pPr>
        <w:pStyle w:val="null3"/>
        <w:ind w:firstLine="960"/>
      </w:pPr>
      <w:r>
        <w:rPr>
          <w:rFonts w:ascii="仿宋_GB2312" w:hAnsi="仿宋_GB2312" w:cs="仿宋_GB2312" w:eastAsia="仿宋_GB2312"/>
        </w:rPr>
        <w:t>详见附件：供应商承诺书（一）.docx</w:t>
      </w:r>
    </w:p>
    <w:p>
      <w:pPr>
        <w:pStyle w:val="null3"/>
        <w:ind w:firstLine="960"/>
      </w:pPr>
      <w:r>
        <w:rPr>
          <w:rFonts w:ascii="仿宋_GB2312" w:hAnsi="仿宋_GB2312" w:cs="仿宋_GB2312" w:eastAsia="仿宋_GB2312"/>
        </w:rPr>
        <w:t>详见附件：供应商承诺书（二）.docx</w:t>
      </w:r>
    </w:p>
    <w:p>
      <w:pPr>
        <w:pStyle w:val="null3"/>
        <w:ind w:firstLine="960"/>
      </w:pPr>
      <w:r>
        <w:rPr>
          <w:rFonts w:ascii="仿宋_GB2312" w:hAnsi="仿宋_GB2312" w:cs="仿宋_GB2312" w:eastAsia="仿宋_GB2312"/>
        </w:rPr>
        <w:t>详见附件：财务状况证明.docx</w:t>
      </w:r>
    </w:p>
    <w:p>
      <w:pPr>
        <w:pStyle w:val="null3"/>
        <w:ind w:firstLine="960"/>
      </w:pPr>
      <w:r>
        <w:rPr>
          <w:rFonts w:ascii="仿宋_GB2312" w:hAnsi="仿宋_GB2312" w:cs="仿宋_GB2312" w:eastAsia="仿宋_GB2312"/>
        </w:rPr>
        <w:t>详见附件：税收缴纳记录证明.docx</w:t>
      </w:r>
    </w:p>
    <w:p>
      <w:pPr>
        <w:pStyle w:val="null3"/>
        <w:ind w:firstLine="960"/>
      </w:pPr>
      <w:r>
        <w:rPr>
          <w:rFonts w:ascii="仿宋_GB2312" w:hAnsi="仿宋_GB2312" w:cs="仿宋_GB2312" w:eastAsia="仿宋_GB2312"/>
        </w:rPr>
        <w:t>详见附件：社会保障资金缴纳记录证明.docx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详见附件：生产厂商声明函或生产厂商授权书.docx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详见附件：商洛市交通建设工程质量监测鉴定中心弯沉检测车辆及相关设备采购项目采购合同.docx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