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行楷简体" w:eastAsia="方正行楷简体"/>
          <w:b/>
          <w:sz w:val="44"/>
        </w:rPr>
      </w:pPr>
    </w:p>
    <w:p>
      <w:pPr>
        <w:spacing w:line="580" w:lineRule="exact"/>
        <w:jc w:val="center"/>
        <w:rPr>
          <w:rFonts w:ascii="方正行楷简体" w:eastAsia="方正行楷简体"/>
          <w:b/>
          <w:sz w:val="44"/>
        </w:rPr>
      </w:pPr>
    </w:p>
    <w:p>
      <w:pPr>
        <w:spacing w:line="580" w:lineRule="exact"/>
        <w:jc w:val="center"/>
        <w:rPr>
          <w:rFonts w:ascii="方正行楷简体" w:eastAsia="方正行楷简体"/>
          <w:b/>
          <w:sz w:val="44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10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商洛市交通建设工程质量监测鉴定中心</w:t>
      </w:r>
    </w:p>
    <w:p>
      <w:pPr>
        <w:widowControl w:val="0"/>
        <w:wordWrap/>
        <w:autoSpaceDE w:val="0"/>
        <w:autoSpaceDN w:val="0"/>
        <w:adjustRightInd w:val="0"/>
        <w:snapToGrid/>
        <w:spacing w:line="1000" w:lineRule="exact"/>
        <w:ind w:left="0" w:leftChars="0" w:right="0" w:firstLine="0" w:firstLineChars="0"/>
        <w:jc w:val="center"/>
        <w:textAlignment w:val="auto"/>
        <w:outlineLvl w:val="9"/>
        <w:rPr>
          <w:rFonts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  <w:lang w:val="en-US" w:eastAsia="zh-CN"/>
        </w:rPr>
        <w:t>弯沉检测车辆及相关设备</w:t>
      </w:r>
      <w:r>
        <w:rPr>
          <w:rFonts w:ascii="仿宋_GB2312" w:hAnsi="仿宋_GB2312" w:eastAsia="仿宋_GB2312" w:cs="仿宋_GB2312"/>
          <w:b/>
          <w:sz w:val="36"/>
          <w:szCs w:val="36"/>
        </w:rPr>
        <w:t>采购项目</w:t>
      </w:r>
    </w:p>
    <w:p>
      <w:pPr>
        <w:widowControl w:val="0"/>
        <w:wordWrap/>
        <w:autoSpaceDE w:val="0"/>
        <w:autoSpaceDN w:val="0"/>
        <w:adjustRightInd w:val="0"/>
        <w:snapToGrid/>
        <w:spacing w:line="10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黑体" w:hAnsi="宋体" w:eastAsia="黑体"/>
          <w:b/>
          <w:w w:val="100"/>
          <w:sz w:val="36"/>
          <w:szCs w:val="36"/>
          <w:lang w:eastAsia="zh-CN"/>
        </w:rPr>
      </w:pPr>
      <w:r>
        <w:rPr>
          <w:rFonts w:hint="eastAsia" w:ascii="黑体" w:hAnsi="宋体" w:eastAsia="黑体"/>
          <w:b/>
          <w:w w:val="100"/>
          <w:sz w:val="36"/>
          <w:szCs w:val="36"/>
          <w:lang w:eastAsia="zh-CN"/>
        </w:rPr>
        <w:t>采购合同</w:t>
      </w:r>
    </w:p>
    <w:p>
      <w:pPr>
        <w:ind w:firstLine="822"/>
        <w:rPr>
          <w:rFonts w:ascii="楷体_GB2312" w:eastAsia="楷体_GB2312"/>
        </w:rPr>
      </w:pPr>
    </w:p>
    <w:p>
      <w:pPr>
        <w:ind w:firstLine="1600" w:firstLineChars="500"/>
        <w:rPr>
          <w:rFonts w:ascii="宋体"/>
          <w:w w:val="80"/>
          <w:sz w:val="32"/>
          <w:szCs w:val="32"/>
        </w:rPr>
      </w:pPr>
      <w:r>
        <w:rPr>
          <w:rFonts w:hint="eastAsia" w:ascii="宋体" w:hAnsi="宋体"/>
          <w:sz w:val="32"/>
          <w:lang w:eastAsia="zh-CN"/>
        </w:rPr>
        <w:t>项目</w:t>
      </w:r>
      <w:r>
        <w:rPr>
          <w:rFonts w:hint="eastAsia" w:ascii="宋体" w:hAnsi="宋体"/>
          <w:sz w:val="32"/>
        </w:rPr>
        <w:t>编号：</w:t>
      </w:r>
      <w:r>
        <w:rPr>
          <w:rFonts w:hint="eastAsia" w:ascii="宋体" w:hAnsi="宋体"/>
          <w:sz w:val="32"/>
          <w:lang w:eastAsia="zh-CN"/>
        </w:rPr>
        <w:t>SLCG-</w:t>
      </w:r>
      <w:r>
        <w:rPr>
          <w:rFonts w:hint="eastAsia" w:ascii="宋体" w:hAnsi="宋体"/>
          <w:sz w:val="32"/>
          <w:lang w:val="en-US" w:eastAsia="zh-CN"/>
        </w:rPr>
        <w:t>TP</w:t>
      </w:r>
      <w:r>
        <w:rPr>
          <w:rFonts w:hint="eastAsia" w:ascii="宋体" w:hAnsi="宋体"/>
          <w:sz w:val="32"/>
          <w:lang w:eastAsia="zh-CN"/>
        </w:rPr>
        <w:t>〔202</w:t>
      </w:r>
      <w:r>
        <w:rPr>
          <w:rFonts w:hint="eastAsia" w:ascii="宋体" w:hAnsi="宋体"/>
          <w:sz w:val="32"/>
          <w:lang w:val="en-US" w:eastAsia="zh-CN"/>
        </w:rPr>
        <w:t>6</w:t>
      </w:r>
      <w:r>
        <w:rPr>
          <w:rFonts w:hint="eastAsia" w:ascii="宋体" w:hAnsi="宋体"/>
          <w:sz w:val="32"/>
          <w:lang w:eastAsia="zh-CN"/>
        </w:rPr>
        <w:t>〕</w:t>
      </w:r>
      <w:r>
        <w:rPr>
          <w:rFonts w:hint="eastAsia" w:ascii="宋体" w:hAnsi="宋体"/>
          <w:sz w:val="32"/>
          <w:lang w:val="en-US" w:eastAsia="zh-CN"/>
        </w:rPr>
        <w:t>2</w:t>
      </w:r>
      <w:r>
        <w:rPr>
          <w:rFonts w:hint="eastAsia" w:ascii="宋体" w:hAnsi="宋体"/>
          <w:sz w:val="32"/>
          <w:lang w:eastAsia="zh-CN"/>
        </w:rPr>
        <w:t>号</w:t>
      </w:r>
    </w:p>
    <w:p>
      <w:pPr>
        <w:ind w:firstLine="822"/>
        <w:rPr>
          <w:rFonts w:ascii="楷体_GB2312" w:eastAsia="楷体_GB2312"/>
        </w:rPr>
      </w:pPr>
    </w:p>
    <w:p>
      <w:pPr>
        <w:ind w:firstLine="822"/>
        <w:rPr>
          <w:rFonts w:ascii="楷体_GB2312" w:eastAsia="楷体_GB2312"/>
        </w:rPr>
      </w:pPr>
    </w:p>
    <w:p>
      <w:pPr>
        <w:ind w:firstLine="1719"/>
        <w:rPr>
          <w:rFonts w:ascii="宋体"/>
          <w:sz w:val="32"/>
        </w:rPr>
      </w:pPr>
    </w:p>
    <w:p>
      <w:pPr>
        <w:ind w:firstLine="1719"/>
        <w:rPr>
          <w:rFonts w:ascii="宋体"/>
          <w:sz w:val="32"/>
        </w:rPr>
      </w:pPr>
    </w:p>
    <w:p>
      <w:pPr>
        <w:ind w:firstLine="1719"/>
        <w:rPr>
          <w:rFonts w:ascii="宋体"/>
          <w:sz w:val="32"/>
        </w:rPr>
      </w:pPr>
    </w:p>
    <w:p>
      <w:pPr>
        <w:ind w:firstLine="1719"/>
        <w:rPr>
          <w:rFonts w:ascii="宋体"/>
          <w:sz w:val="32"/>
        </w:rPr>
      </w:pPr>
    </w:p>
    <w:p>
      <w:pPr>
        <w:ind w:firstLine="1719"/>
        <w:rPr>
          <w:rFonts w:ascii="宋体"/>
          <w:sz w:val="32"/>
        </w:rPr>
      </w:pPr>
    </w:p>
    <w:p>
      <w:pPr>
        <w:ind w:firstLine="2192" w:firstLineChars="685"/>
        <w:rPr>
          <w:rFonts w:ascii="宋体"/>
          <w:sz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Autospacing="0" w:after="0" w:afterAutospacing="0" w:line="800" w:lineRule="exact"/>
        <w:ind w:left="0" w:right="0" w:firstLine="964" w:firstLineChars="300"/>
        <w:jc w:val="both"/>
        <w:textAlignment w:val="auto"/>
        <w:rPr>
          <w:rFonts w:hint="eastAsia" w:ascii="仿宋_GB2312" w:hAnsi="Copperplate Gothic Bold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商洛市交通建设工程质量监测鉴定中心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beforeAutospacing="0" w:after="0" w:afterAutospacing="0" w:line="800" w:lineRule="exact"/>
        <w:ind w:right="0" w:firstLine="964" w:firstLineChars="300"/>
        <w:jc w:val="both"/>
        <w:textAlignment w:val="auto"/>
        <w:rPr>
          <w:rFonts w:ascii="宋体"/>
          <w:sz w:val="32"/>
        </w:rPr>
      </w:pPr>
      <w:r>
        <w:rPr>
          <w:rFonts w:hint="eastAsia" w:ascii="仿宋_GB2312" w:eastAsia="仿宋_GB2312"/>
          <w:sz w:val="32"/>
          <w:szCs w:val="32"/>
        </w:rPr>
        <w:t>乙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方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（成交供应商）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800" w:lineRule="exact"/>
        <w:ind w:firstLine="2828" w:firstLineChars="884"/>
        <w:textAlignment w:val="auto"/>
        <w:rPr>
          <w:rFonts w:hint="default" w:ascii="宋体" w:eastAsia="宋体"/>
          <w:sz w:val="32"/>
          <w:lang w:val="en-US" w:eastAsia="zh-CN"/>
        </w:rPr>
      </w:pPr>
      <w:r>
        <w:rPr>
          <w:rFonts w:hint="eastAsia" w:ascii="宋体"/>
          <w:sz w:val="32"/>
          <w:lang w:val="en-US" w:eastAsia="zh-CN"/>
        </w:rPr>
        <w:t>2026年  月  日</w:t>
      </w:r>
    </w:p>
    <w:p>
      <w:pPr>
        <w:jc w:val="center"/>
        <w:rPr>
          <w:rFonts w:ascii="黑体" w:hAnsi="宋体" w:eastAsia="黑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800" w:lineRule="exact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宋体" w:eastAsia="黑体" w:cs="Times New Roman"/>
          <w:b/>
          <w:sz w:val="36"/>
          <w:szCs w:val="36"/>
          <w:lang w:val="en-US" w:eastAsia="zh-CN"/>
        </w:rPr>
        <w:t>商洛市交通建设工程质量监测鉴定中心弯沉检测车辆及相关设备</w:t>
      </w:r>
      <w:r>
        <w:rPr>
          <w:rFonts w:hint="eastAsia" w:ascii="黑体" w:hAnsi="宋体" w:eastAsia="黑体"/>
          <w:b/>
          <w:sz w:val="36"/>
          <w:szCs w:val="36"/>
        </w:rPr>
        <w:t>采购合同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right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编号</w:t>
      </w:r>
      <w:r>
        <w:rPr>
          <w:rFonts w:ascii="仿宋_GB2312" w:eastAsia="仿宋_GB2312"/>
          <w:sz w:val="32"/>
          <w:szCs w:val="32"/>
        </w:rPr>
        <w:t>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TP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1600" w:hanging="1600" w:hangingChars="500"/>
        <w:jc w:val="both"/>
        <w:textAlignment w:val="auto"/>
        <w:rPr>
          <w:rFonts w:hint="eastAsia" w:ascii="黑体" w:hAnsi="宋体" w:eastAsia="黑体" w:cs="Times New Roman"/>
          <w:b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</w:rPr>
        <w:t>合同内容：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商洛市交通建设工程质量监测鉴定中心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弯沉检测车辆及相关设备采购项目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right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甲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方：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商洛市交通建设工程质量监测鉴定中心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right="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乙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方：（成交供应商）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right="0" w:firstLine="640" w:firstLineChars="200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根据《中华人民共和国政府采购法》《中华人民共和国民法典》及有关法律、法规之规定，在遵循公开、公平、公正及诚信、自愿、互利的原则下，按照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日商洛市政府采购</w:t>
      </w:r>
      <w:r>
        <w:rPr>
          <w:rFonts w:hint="eastAsia" w:ascii="仿宋_GB2312" w:eastAsia="仿宋_GB2312"/>
          <w:sz w:val="32"/>
          <w:szCs w:val="32"/>
          <w:lang w:eastAsia="zh-CN"/>
        </w:rPr>
        <w:t>谈判</w:t>
      </w:r>
      <w:r>
        <w:rPr>
          <w:rFonts w:hint="eastAsia" w:ascii="仿宋_GB2312" w:eastAsia="仿宋_GB2312"/>
          <w:sz w:val="32"/>
          <w:szCs w:val="32"/>
        </w:rPr>
        <w:t>结果（编号：</w:t>
      </w:r>
      <w:r>
        <w:rPr>
          <w:rFonts w:ascii="仿宋_GB2312" w:eastAsia="仿宋_GB2312"/>
          <w:sz w:val="32"/>
          <w:szCs w:val="32"/>
        </w:rPr>
        <w:t>SLCG-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TP</w:t>
      </w:r>
      <w:r>
        <w:rPr>
          <w:rFonts w:hint="eastAsia" w:ascii="仿宋_GB2312" w:eastAsia="仿宋_GB2312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号），经甲、乙双方协商，就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商洛市交通建设工程质量监测鉴定中心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弯沉检测车辆及相关设备</w:t>
      </w:r>
      <w:r>
        <w:rPr>
          <w:rFonts w:hint="eastAsia" w:ascii="仿宋_GB2312" w:eastAsia="仿宋_GB2312"/>
          <w:sz w:val="32"/>
          <w:szCs w:val="32"/>
        </w:rPr>
        <w:t>采购事项达成一致，签订本合同，以资共同遵守。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一、合同内容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弯沉检测车辆及相关设备。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二、合同金额：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元整</w:t>
      </w:r>
      <w:r>
        <w:rPr>
          <w:rFonts w:hint="eastAsia" w:ascii="仿宋_GB2312" w:eastAsia="仿宋_GB2312"/>
          <w:sz w:val="32"/>
          <w:szCs w:val="32"/>
        </w:rPr>
        <w:t>（￥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合同一经签订，在合同内容不变的情况下，合同金额不得变更。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right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</w:rPr>
        <w:t>三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、交货期</w:t>
      </w:r>
      <w:r>
        <w:rPr>
          <w:rFonts w:hint="eastAsia" w:ascii="仿宋_GB2312" w:eastAsia="仿宋_GB2312"/>
          <w:b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合同签订后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日内完成供货、协助办理车辆购置相关手续，并通过采购人验收。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四、</w:t>
      </w:r>
      <w:r>
        <w:rPr>
          <w:rFonts w:hint="eastAsia" w:ascii="仿宋_GB2312" w:eastAsia="仿宋_GB2312" w:cs="Times New Roman"/>
          <w:b/>
          <w:sz w:val="32"/>
          <w:szCs w:val="32"/>
        </w:rPr>
        <w:t>设备技术规格、数量：</w:t>
      </w:r>
      <w:r>
        <w:rPr>
          <w:rFonts w:hint="eastAsia" w:ascii="仿宋_GB2312" w:eastAsia="仿宋_GB2312"/>
          <w:sz w:val="32"/>
          <w:szCs w:val="32"/>
        </w:rPr>
        <w:t>即交付的货物技术规格、型号、数量与谈判响应文件所指明的，或者与本合同所指明的货物技术规格及型号相一致。</w:t>
      </w:r>
    </w:p>
    <w:p>
      <w:pPr>
        <w:keepNext w:val="0"/>
        <w:keepLines w:val="0"/>
        <w:pageBreakBefore w:val="0"/>
        <w:widowControl w:val="0"/>
        <w:tabs>
          <w:tab w:val="left" w:pos="709"/>
          <w:tab w:val="left" w:pos="212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right="0" w:firstLine="643" w:firstLineChars="200"/>
        <w:textAlignment w:val="auto"/>
        <w:outlineLvl w:val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Times New Roman"/>
          <w:b/>
          <w:sz w:val="32"/>
          <w:szCs w:val="32"/>
          <w:lang w:eastAsia="zh-CN"/>
        </w:rPr>
        <w:t>五、</w:t>
      </w:r>
      <w:r>
        <w:rPr>
          <w:rFonts w:hint="eastAsia" w:ascii="仿宋_GB2312" w:eastAsia="仿宋_GB2312" w:cs="Times New Roman"/>
          <w:b/>
          <w:sz w:val="32"/>
          <w:szCs w:val="32"/>
        </w:rPr>
        <w:t>知识产权：</w:t>
      </w:r>
      <w:r>
        <w:rPr>
          <w:rFonts w:hint="eastAsia" w:ascii="仿宋_GB2312" w:eastAsia="仿宋_GB2312"/>
          <w:sz w:val="32"/>
          <w:szCs w:val="32"/>
        </w:rPr>
        <w:t>即成交供应商应保证采购人在使用成交货物（服务）时，不承担任何涉及知识产权法律诉讼的责任。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Times New Roman"/>
          <w:b/>
          <w:sz w:val="32"/>
          <w:szCs w:val="32"/>
          <w:lang w:eastAsia="zh-CN"/>
        </w:rPr>
        <w:t>六、</w:t>
      </w:r>
      <w:r>
        <w:rPr>
          <w:rFonts w:hint="eastAsia" w:ascii="仿宋_GB2312" w:eastAsia="仿宋_GB2312" w:cs="Times New Roman"/>
          <w:b/>
          <w:sz w:val="32"/>
          <w:szCs w:val="32"/>
        </w:rPr>
        <w:t>包装：</w:t>
      </w:r>
      <w:r>
        <w:rPr>
          <w:rFonts w:hint="eastAsia" w:ascii="仿宋_GB2312" w:eastAsia="仿宋_GB2312"/>
          <w:sz w:val="32"/>
          <w:szCs w:val="32"/>
        </w:rPr>
        <w:t>包装必须适应货物特性和交通运输要求，以及国家有关标准或企业标准或合同要求。成交供应商必须承担由于包装、防护措施不妥引起的所有损失的责任和费用。</w:t>
      </w:r>
    </w:p>
    <w:p>
      <w:pPr>
        <w:keepNext w:val="0"/>
        <w:keepLines w:val="0"/>
        <w:pageBreakBefore w:val="0"/>
        <w:widowControl w:val="0"/>
        <w:tabs>
          <w:tab w:val="left" w:pos="709"/>
          <w:tab w:val="left" w:pos="212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right="0" w:firstLine="643" w:firstLineChars="200"/>
        <w:textAlignment w:val="auto"/>
        <w:outlineLvl w:val="0"/>
        <w:rPr>
          <w:rFonts w:hint="eastAsia" w:ascii="仿宋_GB2312" w:eastAsia="仿宋_GB2312" w:cs="Times New Roman"/>
          <w:b/>
          <w:sz w:val="32"/>
          <w:szCs w:val="32"/>
          <w:lang w:eastAsia="zh-CN"/>
        </w:rPr>
      </w:pPr>
      <w:r>
        <w:rPr>
          <w:rFonts w:hint="eastAsia" w:ascii="仿宋_GB2312" w:eastAsia="仿宋_GB2312" w:cs="Times New Roman"/>
          <w:b/>
          <w:sz w:val="32"/>
          <w:szCs w:val="32"/>
          <w:lang w:eastAsia="zh-CN"/>
        </w:rPr>
        <w:t>七、</w:t>
      </w:r>
      <w:r>
        <w:rPr>
          <w:rFonts w:hint="eastAsia" w:ascii="仿宋_GB2312" w:eastAsia="仿宋_GB2312" w:cs="Times New Roman"/>
          <w:b/>
          <w:sz w:val="32"/>
          <w:szCs w:val="32"/>
        </w:rPr>
        <w:t>运输：</w:t>
      </w:r>
      <w:r>
        <w:rPr>
          <w:rFonts w:hint="eastAsia" w:ascii="仿宋_GB2312" w:eastAsia="仿宋_GB2312"/>
          <w:sz w:val="32"/>
          <w:szCs w:val="32"/>
        </w:rPr>
        <w:t>成交供应商可根据交货期、运输条件自行选择运输方式（另有规定的除外），承担一切运输费用。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left="0" w:leftChars="0" w:right="0" w:firstLine="643" w:firstLineChars="200"/>
        <w:jc w:val="both"/>
        <w:textAlignment w:val="auto"/>
        <w:outlineLvl w:val="9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  <w:t>八、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付款方式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（一）合同全部款项由甲方以转账方式支付。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（二）付款期限及比例：弯沉检测车辆及相关设备全部完成并终验合格后15日内支付的合同总金额的95%，</w:t>
      </w:r>
      <w:r>
        <w:rPr>
          <w:rFonts w:hint="eastAsia" w:ascii="仿宋_GB2312" w:hAnsi="宋体" w:eastAsia="仿宋_GB2312"/>
          <w:sz w:val="32"/>
          <w:szCs w:val="32"/>
        </w:rPr>
        <w:t>其余5%作为质保金，在保修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宋体" w:eastAsia="仿宋_GB2312"/>
          <w:sz w:val="32"/>
          <w:szCs w:val="32"/>
        </w:rPr>
        <w:t>年期满后（从验收合格后的次日算起）五个工作日内一次性付清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（付款时供货商需提供该公司正式税票及项目完工验收报告）。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  <w:t>九、技术保障：</w:t>
      </w:r>
      <w:r>
        <w:rPr>
          <w:rFonts w:hint="eastAsia" w:ascii="仿宋_GB2312" w:eastAsia="仿宋_GB2312"/>
          <w:sz w:val="32"/>
          <w:szCs w:val="32"/>
        </w:rPr>
        <w:t>成交供应商须随同货物单位提供相应的中文技术文件（包括产品合格证、装箱清单、操作手册、使用说明、检测报告、维护手册、服务指南等资料），现场安装、调试，提供试运行技术保障服务。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  <w:t>十、人员技术培训：</w:t>
      </w:r>
      <w:r>
        <w:rPr>
          <w:rFonts w:hint="eastAsia" w:ascii="仿宋_GB2312" w:eastAsia="仿宋_GB2312"/>
          <w:sz w:val="32"/>
          <w:szCs w:val="32"/>
        </w:rPr>
        <w:t>培训方式/培训人数/培训地点/费用/等。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  <w:t>十一、质量保证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成交供应商提供货物时同时提供清单，并在到货24小时内通知采购方代表检验核实（具体方式在合同中明确）。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成交供应商必须保证所供货物的来源渠道正常，产品是全新的、未使用过的，且完全符合合同规定的质量、规格、技术指标等要求，并在质保期内、外对由于产品设计、工艺或材料的缺陷而产生的质量问题负责。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在质保期内，如果发现货物的质量、规格、技术指标等存在与合同有任何一项不符，采购人须在最短时间内，以书面形式向成交谈判方提出索赔，同时通告谈判组织机构。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成交供应商必须明确售后服务公约，提供主要产品的售后服务承诺书，承诺免费维修服务条件。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  <w:t>十二、质保和售后服务：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所提供的产品在正常使用情况下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年内无条件免费保修，并终身维护。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  <w:t>十三、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合同内容调整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采购项目执行内容需要调整时，经甲方同意确认后，可以对应进行调整，并协商确定价格差额计算方法和负担办法。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  <w:t>十四、检验：</w:t>
      </w:r>
      <w:r>
        <w:rPr>
          <w:rFonts w:hint="eastAsia" w:ascii="仿宋_GB2312" w:eastAsia="仿宋_GB2312"/>
          <w:sz w:val="32"/>
          <w:szCs w:val="32"/>
        </w:rPr>
        <w:t>在交货前，制造商须对货物的质量、规格、数量等进行准确而全面的检验，出具合格证并封装；货物送达指定地点后，成交供应商和采购人应当在约定的时间和地点共同开箱检验。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3" w:firstLineChars="200"/>
        <w:textAlignment w:val="auto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color w:val="000000"/>
          <w:sz w:val="32"/>
          <w:szCs w:val="32"/>
          <w:lang w:eastAsia="zh-CN"/>
        </w:rPr>
        <w:t>十五、验收：</w:t>
      </w:r>
      <w:r>
        <w:rPr>
          <w:rFonts w:hint="eastAsia" w:ascii="仿宋_GB2312" w:eastAsia="仿宋_GB2312" w:cs="Times New Roman"/>
          <w:sz w:val="32"/>
          <w:szCs w:val="32"/>
        </w:rPr>
        <w:t>在供应商集成地进行，重点核查底盘改装、设备安装、软件配置及初步性能测试是否符合合同承诺。现场最终验收：设备运抵商洛指定地点后，完成安装调试。计量检定：必须由具备资质的第三方计量检测机构进行检定/校准，出具合格证书，作为最终验收通过的必备条件。验收报告：由验收小组（含技术、纪检、财务人员）共同签署验收报告后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firstLine="590" w:firstLineChars="196"/>
        <w:textAlignment w:val="auto"/>
        <w:outlineLvl w:val="9"/>
        <w:rPr>
          <w:rFonts w:hint="eastAsia" w:ascii="仿宋" w:hAnsi="仿宋" w:eastAsia="仿宋"/>
          <w:spacing w:val="-10"/>
          <w:sz w:val="32"/>
          <w:szCs w:val="32"/>
        </w:rPr>
      </w:pPr>
      <w:r>
        <w:rPr>
          <w:rFonts w:hint="eastAsia" w:ascii="仿宋" w:hAnsi="仿宋" w:eastAsia="仿宋"/>
          <w:b/>
          <w:spacing w:val="-10"/>
          <w:sz w:val="32"/>
          <w:szCs w:val="32"/>
          <w:lang w:eastAsia="zh-CN"/>
        </w:rPr>
        <w:t>十六、</w:t>
      </w:r>
      <w:r>
        <w:rPr>
          <w:rFonts w:hint="eastAsia" w:ascii="仿宋" w:hAnsi="仿宋" w:eastAsia="仿宋"/>
          <w:b/>
          <w:spacing w:val="-10"/>
          <w:sz w:val="32"/>
          <w:szCs w:val="32"/>
        </w:rPr>
        <w:t>合同争议的解决：</w:t>
      </w:r>
      <w:r>
        <w:rPr>
          <w:rFonts w:hint="eastAsia" w:ascii="仿宋" w:hAnsi="仿宋" w:eastAsia="仿宋"/>
          <w:spacing w:val="-10"/>
          <w:sz w:val="32"/>
          <w:szCs w:val="32"/>
        </w:rPr>
        <w:t>合同执行中发生争议的，乙方与甲方协商解决，协商达不成一致时，可向甲方所在地仲裁机关申请仲裁或者向人民法院提请诉讼。</w:t>
      </w:r>
    </w:p>
    <w:p>
      <w:pPr>
        <w:keepNext w:val="0"/>
        <w:keepLines w:val="0"/>
        <w:pageBreakBefore w:val="0"/>
        <w:widowControl w:val="0"/>
        <w:tabs>
          <w:tab w:val="left" w:pos="51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firstLine="603" w:firstLineChars="200"/>
        <w:textAlignment w:val="auto"/>
        <w:outlineLvl w:val="9"/>
        <w:rPr>
          <w:rFonts w:hint="eastAsia" w:ascii="仿宋" w:hAnsi="仿宋" w:eastAsia="仿宋"/>
          <w:spacing w:val="-10"/>
          <w:sz w:val="32"/>
          <w:szCs w:val="32"/>
        </w:rPr>
      </w:pPr>
      <w:r>
        <w:rPr>
          <w:rFonts w:hint="eastAsia" w:ascii="仿宋" w:hAnsi="仿宋" w:eastAsia="仿宋"/>
          <w:b/>
          <w:spacing w:val="-10"/>
          <w:sz w:val="32"/>
          <w:szCs w:val="32"/>
          <w:lang w:eastAsia="zh-CN"/>
        </w:rPr>
        <w:t>十七、</w:t>
      </w:r>
      <w:r>
        <w:rPr>
          <w:rFonts w:hint="eastAsia" w:ascii="仿宋" w:hAnsi="仿宋" w:eastAsia="仿宋"/>
          <w:spacing w:val="-10"/>
          <w:sz w:val="32"/>
          <w:szCs w:val="32"/>
        </w:rPr>
        <w:t>合同一经签订，不得擅自变更、中止或者终止。对确需变更、调整或者中止、终止合同的，按规定履行相应的手续。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firstLine="603" w:firstLineChars="200"/>
        <w:textAlignment w:val="auto"/>
        <w:outlineLvl w:val="9"/>
        <w:rPr>
          <w:rFonts w:hint="eastAsia" w:ascii="仿宋" w:hAnsi="仿宋" w:eastAsia="仿宋"/>
          <w:spacing w:val="-10"/>
          <w:sz w:val="32"/>
          <w:szCs w:val="32"/>
        </w:rPr>
      </w:pPr>
      <w:r>
        <w:rPr>
          <w:rFonts w:hint="eastAsia" w:ascii="仿宋" w:hAnsi="仿宋" w:eastAsia="仿宋"/>
          <w:b/>
          <w:spacing w:val="-10"/>
          <w:sz w:val="32"/>
          <w:szCs w:val="32"/>
          <w:lang w:eastAsia="zh-CN"/>
        </w:rPr>
        <w:t>十八、违约责任：</w:t>
      </w:r>
      <w:r>
        <w:rPr>
          <w:rFonts w:hint="eastAsia" w:ascii="仿宋" w:hAnsi="仿宋" w:eastAsia="仿宋"/>
          <w:spacing w:val="-10"/>
          <w:sz w:val="32"/>
          <w:szCs w:val="32"/>
        </w:rPr>
        <w:t>根据《中华人民共和国民法典》《中华人民共和国政府采购法》的相关条款规定和本合同约定，乙方未全面履行合同义务或者发生违约，甲方会同</w:t>
      </w:r>
      <w:r>
        <w:rPr>
          <w:rFonts w:hint="eastAsia" w:ascii="仿宋" w:hAnsi="仿宋" w:eastAsia="仿宋"/>
          <w:spacing w:val="-10"/>
          <w:sz w:val="32"/>
          <w:szCs w:val="32"/>
          <w:lang w:eastAsia="zh-CN"/>
        </w:rPr>
        <w:t>谈判</w:t>
      </w:r>
      <w:r>
        <w:rPr>
          <w:rFonts w:hint="eastAsia" w:ascii="仿宋" w:hAnsi="仿宋" w:eastAsia="仿宋"/>
          <w:spacing w:val="-10"/>
          <w:sz w:val="32"/>
          <w:szCs w:val="32"/>
        </w:rPr>
        <w:t>组织方有权终止合同，依法向乙方进行经济索赔，并报请甲方所在地政府采购监管机关依法进行相应的行政处罚。甲方违约给乙方造成经济损失的，须依法赔偿。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firstLine="603" w:firstLineChars="200"/>
        <w:jc w:val="both"/>
        <w:textAlignment w:val="auto"/>
        <w:outlineLvl w:val="9"/>
        <w:rPr>
          <w:rFonts w:hint="eastAsia" w:ascii="仿宋" w:hAnsi="仿宋" w:eastAsia="仿宋"/>
          <w:spacing w:val="-10"/>
          <w:sz w:val="32"/>
          <w:szCs w:val="32"/>
        </w:rPr>
      </w:pPr>
      <w:r>
        <w:rPr>
          <w:rFonts w:hint="eastAsia" w:ascii="仿宋" w:hAnsi="仿宋" w:eastAsia="仿宋"/>
          <w:b/>
          <w:spacing w:val="-10"/>
          <w:sz w:val="32"/>
          <w:szCs w:val="32"/>
          <w:lang w:eastAsia="zh-CN"/>
        </w:rPr>
        <w:t>十九、</w:t>
      </w:r>
      <w:r>
        <w:rPr>
          <w:rFonts w:hint="eastAsia" w:ascii="仿宋" w:hAnsi="仿宋" w:eastAsia="仿宋"/>
          <w:spacing w:val="-10"/>
          <w:sz w:val="32"/>
          <w:szCs w:val="32"/>
        </w:rPr>
        <w:t>本合同及本项目的</w:t>
      </w:r>
      <w:r>
        <w:rPr>
          <w:rFonts w:hint="eastAsia" w:ascii="仿宋" w:hAnsi="仿宋" w:eastAsia="仿宋"/>
          <w:spacing w:val="-10"/>
          <w:sz w:val="32"/>
          <w:szCs w:val="32"/>
          <w:lang w:eastAsia="zh-CN"/>
        </w:rPr>
        <w:t>谈判</w:t>
      </w:r>
      <w:r>
        <w:rPr>
          <w:rFonts w:hint="eastAsia" w:ascii="仿宋" w:hAnsi="仿宋" w:eastAsia="仿宋"/>
          <w:spacing w:val="-10"/>
          <w:sz w:val="32"/>
          <w:szCs w:val="32"/>
        </w:rPr>
        <w:t>文件、</w:t>
      </w:r>
      <w:r>
        <w:rPr>
          <w:rFonts w:hint="eastAsia" w:ascii="仿宋" w:hAnsi="仿宋" w:eastAsia="仿宋"/>
          <w:spacing w:val="-10"/>
          <w:sz w:val="32"/>
          <w:szCs w:val="32"/>
          <w:lang w:eastAsia="zh-CN"/>
        </w:rPr>
        <w:t>谈判</w:t>
      </w:r>
      <w:r>
        <w:rPr>
          <w:rFonts w:hint="eastAsia" w:ascii="仿宋" w:hAnsi="仿宋" w:eastAsia="仿宋"/>
          <w:spacing w:val="-10"/>
          <w:sz w:val="32"/>
          <w:szCs w:val="32"/>
        </w:rPr>
        <w:t>响应文件和乙方的</w:t>
      </w:r>
      <w:r>
        <w:rPr>
          <w:rFonts w:hint="eastAsia" w:ascii="仿宋" w:hAnsi="仿宋" w:eastAsia="仿宋"/>
          <w:spacing w:val="-10"/>
          <w:sz w:val="32"/>
          <w:szCs w:val="32"/>
          <w:lang w:eastAsia="zh-CN"/>
        </w:rPr>
        <w:t>最后</w:t>
      </w:r>
      <w:r>
        <w:rPr>
          <w:rFonts w:hint="eastAsia" w:ascii="仿宋" w:hAnsi="仿宋" w:eastAsia="仿宋"/>
          <w:spacing w:val="-10"/>
          <w:sz w:val="32"/>
          <w:szCs w:val="32"/>
        </w:rPr>
        <w:t>报价文件为合同的有效组成部分，与合同具有同等的法律效力。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firstLine="603" w:firstLineChars="200"/>
        <w:textAlignment w:val="auto"/>
        <w:outlineLvl w:val="9"/>
        <w:rPr>
          <w:rFonts w:hint="eastAsia" w:ascii="仿宋" w:hAnsi="仿宋" w:eastAsia="仿宋"/>
          <w:spacing w:val="-10"/>
          <w:sz w:val="32"/>
          <w:szCs w:val="32"/>
        </w:rPr>
      </w:pPr>
      <w:r>
        <w:rPr>
          <w:rFonts w:hint="eastAsia" w:ascii="仿宋" w:hAnsi="仿宋" w:eastAsia="仿宋"/>
          <w:b/>
          <w:spacing w:val="-10"/>
          <w:sz w:val="32"/>
          <w:szCs w:val="32"/>
          <w:lang w:eastAsia="zh-CN"/>
        </w:rPr>
        <w:t>二十、</w:t>
      </w:r>
      <w:r>
        <w:rPr>
          <w:rFonts w:hint="eastAsia" w:ascii="仿宋" w:hAnsi="仿宋" w:eastAsia="仿宋"/>
          <w:spacing w:val="-10"/>
          <w:sz w:val="32"/>
          <w:szCs w:val="32"/>
        </w:rPr>
        <w:t>本合同经甲乙双方签字盖章后生效。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firstLine="603" w:firstLineChars="200"/>
        <w:textAlignment w:val="auto"/>
        <w:outlineLvl w:val="9"/>
        <w:rPr>
          <w:rFonts w:hint="eastAsia" w:ascii="仿宋" w:hAnsi="仿宋" w:eastAsia="仿宋"/>
          <w:spacing w:val="-10"/>
          <w:sz w:val="32"/>
          <w:szCs w:val="32"/>
        </w:rPr>
      </w:pPr>
      <w:r>
        <w:rPr>
          <w:rFonts w:hint="eastAsia" w:ascii="仿宋" w:hAnsi="仿宋" w:eastAsia="仿宋"/>
          <w:b/>
          <w:spacing w:val="-10"/>
          <w:sz w:val="32"/>
          <w:szCs w:val="32"/>
          <w:lang w:eastAsia="zh-CN"/>
        </w:rPr>
        <w:t>二十一、</w:t>
      </w:r>
      <w:r>
        <w:rPr>
          <w:rFonts w:hint="eastAsia" w:ascii="仿宋" w:hAnsi="仿宋" w:eastAsia="仿宋"/>
          <w:spacing w:val="-10"/>
          <w:sz w:val="32"/>
          <w:szCs w:val="32"/>
        </w:rPr>
        <w:t>本合同一式四份，甲方、乙方、</w:t>
      </w:r>
      <w:r>
        <w:rPr>
          <w:rFonts w:hint="eastAsia" w:ascii="仿宋" w:hAnsi="仿宋" w:eastAsia="仿宋"/>
          <w:spacing w:val="-10"/>
          <w:sz w:val="32"/>
          <w:szCs w:val="32"/>
          <w:lang w:eastAsia="zh-CN"/>
        </w:rPr>
        <w:t>谈判</w:t>
      </w:r>
      <w:r>
        <w:rPr>
          <w:rFonts w:hint="eastAsia" w:ascii="仿宋" w:hAnsi="仿宋" w:eastAsia="仿宋"/>
          <w:spacing w:val="-10"/>
          <w:sz w:val="32"/>
          <w:szCs w:val="32"/>
        </w:rPr>
        <w:t>组织机构各一份，商洛市财政局备案一份。</w:t>
      </w:r>
    </w:p>
    <w:p>
      <w:pPr>
        <w:widowControl w:val="0"/>
        <w:wordWrap/>
        <w:autoSpaceDE w:val="0"/>
        <w:autoSpaceDN w:val="0"/>
        <w:adjustRightInd w:val="0"/>
        <w:snapToGrid/>
        <w:spacing w:line="620" w:lineRule="exact"/>
        <w:ind w:left="0" w:leftChars="0" w:right="0" w:firstLine="600" w:firstLineChars="200"/>
        <w:textAlignment w:val="auto"/>
        <w:outlineLvl w:val="9"/>
        <w:rPr>
          <w:rFonts w:hint="eastAsia" w:ascii="仿宋" w:hAnsi="仿宋" w:eastAsia="仿宋"/>
          <w:spacing w:val="-10"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甲方单位名称</w:t>
      </w:r>
      <w:r>
        <w:rPr>
          <w:rFonts w:ascii="仿宋_GB2312" w:hAnsi="宋体" w:eastAsia="仿宋_GB2312"/>
          <w:sz w:val="32"/>
          <w:szCs w:val="32"/>
        </w:rPr>
        <w:t>: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商洛市交通建设工程质量监测鉴定中心</w:t>
      </w:r>
      <w:r>
        <w:rPr>
          <w:rFonts w:hint="eastAsia" w:ascii="仿宋_GB2312" w:hAnsi="宋体" w:eastAsia="仿宋_GB2312"/>
          <w:sz w:val="32"/>
          <w:szCs w:val="32"/>
        </w:rPr>
        <w:t>（盖章）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法定代表人：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授权代表：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电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话：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地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址：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期：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乙方单位名称</w:t>
      </w:r>
      <w:r>
        <w:rPr>
          <w:rFonts w:ascii="仿宋_GB2312" w:hAnsi="宋体" w:eastAsia="仿宋_GB2312"/>
          <w:sz w:val="32"/>
          <w:szCs w:val="32"/>
        </w:rPr>
        <w:t xml:space="preserve">: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（盖章）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法定代表人：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授权代表：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电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话：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地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址：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开户银行：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帐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号：</w:t>
      </w:r>
    </w:p>
    <w:p>
      <w:pPr>
        <w:widowControl w:val="0"/>
        <w:wordWrap/>
        <w:autoSpaceDE w:val="0"/>
        <w:autoSpaceDN w:val="0"/>
        <w:adjustRightInd w:val="0"/>
        <w:snapToGrid/>
        <w:spacing w:line="520" w:lineRule="exact"/>
        <w:ind w:left="0" w:leftChars="0" w:right="0" w:firstLine="640" w:firstLineChars="20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期：</w:t>
      </w:r>
    </w:p>
    <w:p>
      <w:pPr>
        <w:spacing w:line="580" w:lineRule="exact"/>
        <w:ind w:firstLine="200" w:firstLineChars="200"/>
        <w:rPr>
          <w:rFonts w:ascii="仿宋_GB2312" w:hAnsi="宋体" w:eastAsia="仿宋_GB2312"/>
          <w:sz w:val="10"/>
          <w:szCs w:val="10"/>
        </w:rPr>
      </w:pPr>
    </w:p>
    <w:p>
      <w:pPr>
        <w:pStyle w:val="2"/>
        <w:rPr>
          <w:rFonts w:ascii="仿宋_GB2312" w:hAnsi="宋体" w:eastAsia="仿宋_GB2312"/>
          <w:sz w:val="10"/>
          <w:szCs w:val="10"/>
        </w:rPr>
      </w:pPr>
    </w:p>
    <w:p>
      <w:pPr>
        <w:pStyle w:val="2"/>
        <w:rPr>
          <w:rFonts w:ascii="仿宋_GB2312" w:hAnsi="宋体" w:eastAsia="仿宋_GB2312"/>
          <w:sz w:val="10"/>
          <w:szCs w:val="10"/>
        </w:rPr>
      </w:pPr>
    </w:p>
    <w:p>
      <w:pPr>
        <w:pStyle w:val="2"/>
        <w:rPr>
          <w:rFonts w:ascii="仿宋_GB2312" w:hAnsi="宋体" w:eastAsia="仿宋_GB2312"/>
          <w:sz w:val="10"/>
          <w:szCs w:val="10"/>
        </w:rPr>
      </w:pPr>
    </w:p>
    <w:p>
      <w:pPr>
        <w:pStyle w:val="2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附件：主要设备及技术参数</w:t>
      </w:r>
    </w:p>
    <w:tbl>
      <w:tblPr>
        <w:tblStyle w:val="7"/>
        <w:tblW w:w="9100" w:type="dxa"/>
        <w:tblInd w:w="-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80"/>
        <w:gridCol w:w="938"/>
        <w:gridCol w:w="2802"/>
        <w:gridCol w:w="957"/>
        <w:gridCol w:w="853"/>
        <w:gridCol w:w="1120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80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93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品名</w:t>
            </w:r>
            <w:bookmarkStart w:id="0" w:name="_GoBack"/>
            <w:bookmarkEnd w:id="0"/>
          </w:p>
        </w:tc>
        <w:tc>
          <w:tcPr>
            <w:tcW w:w="280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技术参数</w:t>
            </w:r>
          </w:p>
        </w:tc>
        <w:tc>
          <w:tcPr>
            <w:tcW w:w="957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单位</w:t>
            </w:r>
          </w:p>
        </w:tc>
        <w:tc>
          <w:tcPr>
            <w:tcW w:w="8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数量</w:t>
            </w:r>
          </w:p>
        </w:tc>
        <w:tc>
          <w:tcPr>
            <w:tcW w:w="112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单价</w:t>
            </w:r>
          </w:p>
        </w:tc>
        <w:tc>
          <w:tcPr>
            <w:tcW w:w="195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80" w:type="dxa"/>
            <w:vAlign w:val="center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938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80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957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8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12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5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80" w:type="dxa"/>
            <w:vAlign w:val="center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938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80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957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8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12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5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80" w:type="dxa"/>
            <w:vAlign w:val="center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938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80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957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8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12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5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80" w:type="dxa"/>
            <w:vAlign w:val="center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938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80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957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8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12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5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80" w:type="dxa"/>
            <w:vAlign w:val="center"/>
          </w:tcPr>
          <w:p>
            <w:pPr>
              <w:pStyle w:val="2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938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802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957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853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12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50" w:type="dxa"/>
            <w:vAlign w:val="center"/>
          </w:tcPr>
          <w:p>
            <w:pPr>
              <w:pStyle w:val="2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</w:tr>
    </w:tbl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41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MV Boli"/>
    <w:panose1 w:val="020E0705020206020404"/>
    <w:charset w:val="00"/>
    <w:family w:val="auto"/>
    <w:pitch w:val="default"/>
    <w:sig w:usb0="00000000" w:usb1="00000000" w:usb2="00000000" w:usb3="00000000" w:csb0="00000001" w:csb1="00000000"/>
  </w:font>
  <w:font w:name="方正行楷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236C"/>
    <w:rsid w:val="00004C82"/>
    <w:rsid w:val="000112FC"/>
    <w:rsid w:val="000357ED"/>
    <w:rsid w:val="00057384"/>
    <w:rsid w:val="0008363E"/>
    <w:rsid w:val="000A4185"/>
    <w:rsid w:val="000B10D0"/>
    <w:rsid w:val="000D275D"/>
    <w:rsid w:val="000D5DA2"/>
    <w:rsid w:val="000F5491"/>
    <w:rsid w:val="00120D4F"/>
    <w:rsid w:val="0013067F"/>
    <w:rsid w:val="00133DBE"/>
    <w:rsid w:val="00151273"/>
    <w:rsid w:val="00167EFB"/>
    <w:rsid w:val="00171C41"/>
    <w:rsid w:val="00185A34"/>
    <w:rsid w:val="001A1247"/>
    <w:rsid w:val="001A236C"/>
    <w:rsid w:val="001A2B2E"/>
    <w:rsid w:val="001A5B71"/>
    <w:rsid w:val="001C5662"/>
    <w:rsid w:val="001F2451"/>
    <w:rsid w:val="001F60B6"/>
    <w:rsid w:val="00205BB7"/>
    <w:rsid w:val="0021627E"/>
    <w:rsid w:val="002331E4"/>
    <w:rsid w:val="00235FA7"/>
    <w:rsid w:val="00247710"/>
    <w:rsid w:val="00253BF6"/>
    <w:rsid w:val="00265A33"/>
    <w:rsid w:val="00266F8B"/>
    <w:rsid w:val="00270A53"/>
    <w:rsid w:val="00272B04"/>
    <w:rsid w:val="00293166"/>
    <w:rsid w:val="002A5B08"/>
    <w:rsid w:val="002A6359"/>
    <w:rsid w:val="002D0D4D"/>
    <w:rsid w:val="002E31C1"/>
    <w:rsid w:val="002F36E2"/>
    <w:rsid w:val="00305502"/>
    <w:rsid w:val="00310019"/>
    <w:rsid w:val="00312045"/>
    <w:rsid w:val="0031351C"/>
    <w:rsid w:val="00316377"/>
    <w:rsid w:val="003219EB"/>
    <w:rsid w:val="003260CC"/>
    <w:rsid w:val="0033240F"/>
    <w:rsid w:val="0033724E"/>
    <w:rsid w:val="00341E59"/>
    <w:rsid w:val="00346717"/>
    <w:rsid w:val="00362F39"/>
    <w:rsid w:val="003637D5"/>
    <w:rsid w:val="00374CB3"/>
    <w:rsid w:val="003A283F"/>
    <w:rsid w:val="003B6A10"/>
    <w:rsid w:val="003C2B96"/>
    <w:rsid w:val="003C3D54"/>
    <w:rsid w:val="003E16B4"/>
    <w:rsid w:val="00406CCA"/>
    <w:rsid w:val="00414652"/>
    <w:rsid w:val="00424EE3"/>
    <w:rsid w:val="00443061"/>
    <w:rsid w:val="004525E1"/>
    <w:rsid w:val="004928C0"/>
    <w:rsid w:val="004A01E4"/>
    <w:rsid w:val="004B0BDD"/>
    <w:rsid w:val="004B79AA"/>
    <w:rsid w:val="004C00EB"/>
    <w:rsid w:val="004C4916"/>
    <w:rsid w:val="00541F6F"/>
    <w:rsid w:val="00545260"/>
    <w:rsid w:val="00546F23"/>
    <w:rsid w:val="0055079B"/>
    <w:rsid w:val="005508BB"/>
    <w:rsid w:val="00553606"/>
    <w:rsid w:val="00565C04"/>
    <w:rsid w:val="00567025"/>
    <w:rsid w:val="005679C2"/>
    <w:rsid w:val="00581EBD"/>
    <w:rsid w:val="0059456E"/>
    <w:rsid w:val="005A27F0"/>
    <w:rsid w:val="005A622D"/>
    <w:rsid w:val="005B2744"/>
    <w:rsid w:val="005E299B"/>
    <w:rsid w:val="005E4C48"/>
    <w:rsid w:val="00601C99"/>
    <w:rsid w:val="00605EB4"/>
    <w:rsid w:val="006143E1"/>
    <w:rsid w:val="00655C1D"/>
    <w:rsid w:val="006601BC"/>
    <w:rsid w:val="006758C2"/>
    <w:rsid w:val="006762ED"/>
    <w:rsid w:val="00684B75"/>
    <w:rsid w:val="00690E34"/>
    <w:rsid w:val="006942F1"/>
    <w:rsid w:val="006A3B43"/>
    <w:rsid w:val="006D3A07"/>
    <w:rsid w:val="006F552B"/>
    <w:rsid w:val="0070379B"/>
    <w:rsid w:val="00713F3E"/>
    <w:rsid w:val="00726C13"/>
    <w:rsid w:val="00761E56"/>
    <w:rsid w:val="007C4773"/>
    <w:rsid w:val="007D589A"/>
    <w:rsid w:val="007F6239"/>
    <w:rsid w:val="007F63E6"/>
    <w:rsid w:val="00811871"/>
    <w:rsid w:val="0082208B"/>
    <w:rsid w:val="00823970"/>
    <w:rsid w:val="00832F53"/>
    <w:rsid w:val="0083378C"/>
    <w:rsid w:val="00847124"/>
    <w:rsid w:val="008567E9"/>
    <w:rsid w:val="00866241"/>
    <w:rsid w:val="008C3CA0"/>
    <w:rsid w:val="008E3CC9"/>
    <w:rsid w:val="008F5D8A"/>
    <w:rsid w:val="00901E70"/>
    <w:rsid w:val="00906046"/>
    <w:rsid w:val="00913184"/>
    <w:rsid w:val="009302CE"/>
    <w:rsid w:val="00950316"/>
    <w:rsid w:val="00973170"/>
    <w:rsid w:val="009843CC"/>
    <w:rsid w:val="009A0DE9"/>
    <w:rsid w:val="009B3719"/>
    <w:rsid w:val="009B488A"/>
    <w:rsid w:val="009D67A3"/>
    <w:rsid w:val="00A068A3"/>
    <w:rsid w:val="00A111CC"/>
    <w:rsid w:val="00A154D9"/>
    <w:rsid w:val="00A17637"/>
    <w:rsid w:val="00A273B9"/>
    <w:rsid w:val="00A3367C"/>
    <w:rsid w:val="00A35C6C"/>
    <w:rsid w:val="00A428CC"/>
    <w:rsid w:val="00A45095"/>
    <w:rsid w:val="00A534F5"/>
    <w:rsid w:val="00A740F5"/>
    <w:rsid w:val="00A77924"/>
    <w:rsid w:val="00A839A8"/>
    <w:rsid w:val="00A95640"/>
    <w:rsid w:val="00AC7C0A"/>
    <w:rsid w:val="00AD66FF"/>
    <w:rsid w:val="00AE44DB"/>
    <w:rsid w:val="00AF0E3F"/>
    <w:rsid w:val="00B147FF"/>
    <w:rsid w:val="00B211CB"/>
    <w:rsid w:val="00B81BEA"/>
    <w:rsid w:val="00C001ED"/>
    <w:rsid w:val="00C07B54"/>
    <w:rsid w:val="00C368EB"/>
    <w:rsid w:val="00C97117"/>
    <w:rsid w:val="00CA5E26"/>
    <w:rsid w:val="00CA7DC2"/>
    <w:rsid w:val="00CB4261"/>
    <w:rsid w:val="00CB4465"/>
    <w:rsid w:val="00CC24B2"/>
    <w:rsid w:val="00D01ABA"/>
    <w:rsid w:val="00D02E2F"/>
    <w:rsid w:val="00D3121B"/>
    <w:rsid w:val="00D31DFC"/>
    <w:rsid w:val="00D42008"/>
    <w:rsid w:val="00D46E66"/>
    <w:rsid w:val="00D47DE9"/>
    <w:rsid w:val="00D770C5"/>
    <w:rsid w:val="00D814A0"/>
    <w:rsid w:val="00D874A9"/>
    <w:rsid w:val="00DF7D32"/>
    <w:rsid w:val="00E35F94"/>
    <w:rsid w:val="00E42F14"/>
    <w:rsid w:val="00E42F5F"/>
    <w:rsid w:val="00E62872"/>
    <w:rsid w:val="00E6471B"/>
    <w:rsid w:val="00E65235"/>
    <w:rsid w:val="00E74A74"/>
    <w:rsid w:val="00EA33BF"/>
    <w:rsid w:val="00EB2389"/>
    <w:rsid w:val="00EB57FF"/>
    <w:rsid w:val="00EC5A8F"/>
    <w:rsid w:val="00F053F3"/>
    <w:rsid w:val="00F10A0D"/>
    <w:rsid w:val="00F35486"/>
    <w:rsid w:val="00F45213"/>
    <w:rsid w:val="00F63E6F"/>
    <w:rsid w:val="00F82154"/>
    <w:rsid w:val="00F87C51"/>
    <w:rsid w:val="00F94B33"/>
    <w:rsid w:val="00F97D57"/>
    <w:rsid w:val="00FA10C9"/>
    <w:rsid w:val="00FA72E5"/>
    <w:rsid w:val="00FB6D41"/>
    <w:rsid w:val="013972CF"/>
    <w:rsid w:val="081425F8"/>
    <w:rsid w:val="08BF16F5"/>
    <w:rsid w:val="0BA542E5"/>
    <w:rsid w:val="0F187523"/>
    <w:rsid w:val="131F6772"/>
    <w:rsid w:val="141E61BF"/>
    <w:rsid w:val="14821BD9"/>
    <w:rsid w:val="14E72367"/>
    <w:rsid w:val="18AC6927"/>
    <w:rsid w:val="192263C6"/>
    <w:rsid w:val="1B2E3A58"/>
    <w:rsid w:val="1B4F4447"/>
    <w:rsid w:val="20B77A8E"/>
    <w:rsid w:val="25A823B4"/>
    <w:rsid w:val="266D0FF6"/>
    <w:rsid w:val="2B495541"/>
    <w:rsid w:val="2C5003B0"/>
    <w:rsid w:val="2FA96958"/>
    <w:rsid w:val="30BF6856"/>
    <w:rsid w:val="3288393D"/>
    <w:rsid w:val="365E4E6A"/>
    <w:rsid w:val="38D1766A"/>
    <w:rsid w:val="38DD6B8C"/>
    <w:rsid w:val="394D3FE6"/>
    <w:rsid w:val="39DD38C4"/>
    <w:rsid w:val="3A7515BF"/>
    <w:rsid w:val="3B274A01"/>
    <w:rsid w:val="3B541E3D"/>
    <w:rsid w:val="3E9F2CE9"/>
    <w:rsid w:val="410E1D34"/>
    <w:rsid w:val="41FD208D"/>
    <w:rsid w:val="440447CF"/>
    <w:rsid w:val="46521577"/>
    <w:rsid w:val="46E814B6"/>
    <w:rsid w:val="473927E1"/>
    <w:rsid w:val="4846270C"/>
    <w:rsid w:val="49A54DF8"/>
    <w:rsid w:val="4A90049B"/>
    <w:rsid w:val="4C025A55"/>
    <w:rsid w:val="4C7404BA"/>
    <w:rsid w:val="4DDF2EE0"/>
    <w:rsid w:val="513F543D"/>
    <w:rsid w:val="51603CA9"/>
    <w:rsid w:val="52E10D38"/>
    <w:rsid w:val="539C1441"/>
    <w:rsid w:val="53DC1FAD"/>
    <w:rsid w:val="564F0C70"/>
    <w:rsid w:val="56696258"/>
    <w:rsid w:val="5805648A"/>
    <w:rsid w:val="59402BE8"/>
    <w:rsid w:val="5AB76B0B"/>
    <w:rsid w:val="5D42277C"/>
    <w:rsid w:val="5DFF3374"/>
    <w:rsid w:val="5F290804"/>
    <w:rsid w:val="5FD160EC"/>
    <w:rsid w:val="60171C0D"/>
    <w:rsid w:val="61507168"/>
    <w:rsid w:val="62313161"/>
    <w:rsid w:val="66D105CE"/>
    <w:rsid w:val="67060E67"/>
    <w:rsid w:val="69A951E8"/>
    <w:rsid w:val="6BD232E8"/>
    <w:rsid w:val="73984F3C"/>
    <w:rsid w:val="78515A35"/>
    <w:rsid w:val="78DB1B81"/>
    <w:rsid w:val="7F2A09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unhideWhenUsed/>
    <w:qFormat/>
    <w:uiPriority w:val="0"/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Header Char"/>
    <w:basedOn w:val="8"/>
    <w:link w:val="5"/>
    <w:semiHidden/>
    <w:qFormat/>
    <w:locked/>
    <w:uiPriority w:val="99"/>
    <w:rPr>
      <w:rFonts w:ascii="Copperplate Gothic Bold" w:hAnsi="Copperplate Gothic Bold" w:cs="Times New Roman"/>
      <w:kern w:val="0"/>
      <w:sz w:val="18"/>
      <w:szCs w:val="18"/>
    </w:rPr>
  </w:style>
  <w:style w:type="character" w:customStyle="1" w:styleId="12">
    <w:name w:val="Footer Char"/>
    <w:basedOn w:val="8"/>
    <w:link w:val="4"/>
    <w:semiHidden/>
    <w:qFormat/>
    <w:locked/>
    <w:uiPriority w:val="99"/>
    <w:rPr>
      <w:rFonts w:ascii="Copperplate Gothic Bold" w:hAnsi="Copperplate Gothic Bold" w:cs="Times New Roman"/>
      <w:kern w:val="0"/>
      <w:sz w:val="18"/>
      <w:szCs w:val="18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9</Pages>
  <Words>3456</Words>
  <Characters>3548</Characters>
  <Lines>0</Lines>
  <Paragraphs>0</Paragraphs>
  <TotalTime>4</TotalTime>
  <ScaleCrop>false</ScaleCrop>
  <LinksUpToDate>false</LinksUpToDate>
  <CharactersWithSpaces>3681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2022-02-28T03:28:00Z</dcterms:created>
  <dc:creator>Administrator</dc:creator>
  <cp:lastModifiedBy>Administrator</cp:lastModifiedBy>
  <cp:lastPrinted>2024-01-30T02:12:00Z</cp:lastPrinted>
  <dcterms:modified xsi:type="dcterms:W3CDTF">2026-05-20T01:50:26Z</dcterms:modified>
  <dc:title>商洛市纪委监委监务通服务项目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KSOTemplateDocerSaveRecord">
    <vt:lpwstr>eyJoZGlkIjoiZmRjZmQzZDkzMmMyNDQwODFlOTczNGE0ZDY0MDhhNjgiLCJ1c2VySWQiOiIyNzIxNTQ5NDAifQ==</vt:lpwstr>
  </property>
  <property fmtid="{D5CDD505-2E9C-101B-9397-08002B2CF9AE}" pid="4" name="ICV">
    <vt:lpwstr>7EB15742EFAF4937BC2F622312D52C4A_12</vt:lpwstr>
  </property>
</Properties>
</file>