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版本号：HSGJ2026-18320260706001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2026年白水县西固镇东文化村道路提升改造项目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HSGJ2026-183</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2026年白水县西固镇东文化村道路提升改造项目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2026年白水县西固镇东文化村道路提升改造项目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2026年白水县西固镇东文化村道路提升改造项目，具体内容详见第三章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采购包1（2026年白水县西固镇东文化村道路提升改造项目）：属于专门面向中小企业采购。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11、资质要求：供应商须具备市政公用工程施工总承包三级及以上（含三级）资质（或调整后的同等级资质），并具有有效的安全生产许可证；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12、项目经理：供应商拟派项目经理须具备在本单位注册的市政公用工程专业贰级（含贰级）以上注册建造师资质，具备有效的安全生产考核证书B证，且未担任其他在建项目的承诺书；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采购包1：796,718.14元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代理服务费收费标准：按照国家计委颁布的《招标代理服务收费管理暂行办法》（计价格[2002]1980号）和（发改办价格[2003]857号）收费标准计取。银行户名：华晟国际项目管理有限公司 开户银行：建设银行西安劳动路支行 账 号：610501 740015 00000 427 转账事由：HSGJ2026-183项目代理服务费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796,718.14</w:t>
      </w:r>
    </w:p>
    <w:p>
      <w:pPr>
        <w:pStyle w:val="null3"/>
      </w:pPr>
      <w:r>
        <w:rPr>
          <w:rFonts w:ascii="仿宋_GB2312" w:hAnsi="仿宋_GB2312" w:cs="仿宋_GB2312" w:eastAsia="仿宋_GB2312"/>
        </w:rPr>
        <w:t>采购包最高限价（元）: 796,718.14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2026年白水县西固镇东文化村道路提升改造项目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796,718.14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2026年白水县西固镇东文化村道路提升改造项目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rPr>
              <w:t>项目位于西固镇东文化村，改造道路两条，道路一铣刨面层重新铺设沥青面层，道路二拆除面层基础重新铺设沥青面层</w:t>
            </w:r>
            <w:r>
              <w:rPr>
                <w:rFonts w:ascii="仿宋_GB2312" w:hAnsi="仿宋_GB2312" w:cs="仿宋_GB2312" w:eastAsia="仿宋_GB2312"/>
                <w:sz w:val="24"/>
              </w:rPr>
              <w:t>，具体</w:t>
            </w:r>
            <w:r>
              <w:rPr>
                <w:rFonts w:ascii="仿宋_GB2312" w:hAnsi="仿宋_GB2312" w:cs="仿宋_GB2312" w:eastAsia="仿宋_GB2312"/>
                <w:sz w:val="24"/>
              </w:rPr>
              <w:t>详见工程量清单及图纸。</w:t>
            </w:r>
          </w:p>
          <w:p>
            <w:pPr>
              <w:pStyle w:val="null3"/>
              <w:ind w:firstLine="482"/>
            </w:pPr>
            <w:r>
              <w:rPr>
                <w:rFonts w:ascii="仿宋_GB2312" w:hAnsi="仿宋_GB2312" w:cs="仿宋_GB2312" w:eastAsia="仿宋_GB2312"/>
                <w:sz w:val="24"/>
                <w:b/>
              </w:rPr>
              <w:t>二、工程地点：</w:t>
            </w:r>
            <w:r>
              <w:rPr>
                <w:rFonts w:ascii="仿宋_GB2312" w:hAnsi="仿宋_GB2312" w:cs="仿宋_GB2312" w:eastAsia="仿宋_GB2312"/>
                <w:sz w:val="24"/>
              </w:rPr>
              <w:t>白水县</w:t>
            </w:r>
          </w:p>
          <w:p>
            <w:pPr>
              <w:pStyle w:val="null3"/>
              <w:ind w:firstLine="482"/>
              <w:jc w:val="both"/>
            </w:pPr>
            <w:r>
              <w:rPr>
                <w:rFonts w:ascii="仿宋_GB2312" w:hAnsi="仿宋_GB2312" w:cs="仿宋_GB2312" w:eastAsia="仿宋_GB2312"/>
                <w:sz w:val="24"/>
                <w:b/>
              </w:rPr>
              <w:t>三、工期：</w:t>
            </w:r>
            <w:r>
              <w:rPr>
                <w:rFonts w:ascii="仿宋_GB2312" w:hAnsi="仿宋_GB2312" w:cs="仿宋_GB2312" w:eastAsia="仿宋_GB2312"/>
                <w:sz w:val="24"/>
              </w:rPr>
              <w:t>合同签订后</w:t>
            </w:r>
            <w:r>
              <w:rPr>
                <w:rFonts w:ascii="仿宋_GB2312" w:hAnsi="仿宋_GB2312" w:cs="仿宋_GB2312" w:eastAsia="仿宋_GB2312"/>
                <w:sz w:val="24"/>
              </w:rPr>
              <w:t>60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四、清单编制中应说明的问题</w:t>
            </w:r>
          </w:p>
          <w:p>
            <w:pPr>
              <w:pStyle w:val="null3"/>
              <w:ind w:firstLine="480"/>
              <w:jc w:val="both"/>
            </w:pPr>
            <w:r>
              <w:rPr>
                <w:rFonts w:ascii="仿宋_GB2312" w:hAnsi="仿宋_GB2312" w:cs="仿宋_GB2312" w:eastAsia="仿宋_GB2312"/>
                <w:sz w:val="24"/>
              </w:rPr>
              <w:t>本工程清单计价表采用广联达计价软件</w:t>
            </w:r>
            <w:r>
              <w:rPr>
                <w:rFonts w:ascii="仿宋_GB2312" w:hAnsi="仿宋_GB2312" w:cs="仿宋_GB2312" w:eastAsia="仿宋_GB2312"/>
                <w:sz w:val="24"/>
              </w:rPr>
              <w:t>GBQ7.0，版 7.5000.23.3</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质量标准：</w:t>
            </w:r>
          </w:p>
          <w:p>
            <w:pPr>
              <w:pStyle w:val="null3"/>
            </w:pPr>
            <w:r>
              <w:rPr>
                <w:rFonts w:ascii="仿宋_GB2312" w:hAnsi="仿宋_GB2312" w:cs="仿宋_GB2312" w:eastAsia="仿宋_GB2312"/>
                <w:sz w:val="24"/>
              </w:rPr>
              <w:t xml:space="preserve">   达到国家现行行业施工验收规范</w:t>
            </w:r>
            <w:r>
              <w:rPr>
                <w:rFonts w:ascii="仿宋_GB2312" w:hAnsi="仿宋_GB2312" w:cs="仿宋_GB2312" w:eastAsia="仿宋_GB2312"/>
                <w:sz w:val="24"/>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2.资质证明文件（参考格式）.docx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2.资质证明文件（参考格式）.docx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2.资质证明文件（参考格式）.docx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2.资质证明文件（参考格式）.docx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已标价工程量清单 1.服务要求响应表.docx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2.资质证明文件（参考格式）.docx 报价函 标的清单 4.供应商拒绝政府采购领域商业贿赂承诺书.docx 响应函 1.服务要求响应表.docx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三、赋分标准（满分12分）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供应商提供针对本项目实际需求编制的确保工期的技术组织措施，内容包含：①工期计划；②关键节点工期分析；③延误工期补救措施。 二、评审标准 1.完整性：内容必须全面，对评审内容中的各项要求有详细描述； 2.可实施性：切合本项目实际情况，提出步骤清晰、合理的方案； 3.针对性：方案能够紧扣项目实际情况，内容科学合理。 三、赋分标准（满分9分） ①工期计划：每完全满足一项评审标准得1分，有瑕疵得0.5 分，满分3分； ②关键节点工期分析：每完全满足一项评审标准得1分，有瑕疵得0.5 分，满分3分； ③延误工期补救措施：每完全满足一项评审标准得1分，有瑕疵得0.5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三、赋分标准（满分9分） ①工程质量目标：每完全满足一个评审标准得1分，有瑕疵得0.5 分，有缺项漏项得 0 分。满分3分； ②施工质量保障措施：每完全满足一个评审标准得1分，有瑕疵得0.5 分，有缺项漏项得 0 分。满分3分； ③施工质量检验制度：每完全满足一个评审标准得1分，有瑕疵得0.5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二、评审标准 1.完整性：内容必须全面，对评审内容中的各项要求有详细描述； 2.可实施性：切合本项目实际情况，提出步骤清晰、合理的方案； 3.针对性：方案能够紧扣项目实际情况，内容科学合理。 三、赋分标准（满分9分） ①安全管理体系及文明施工管理制度：每完全满足一个评审标准得1分，有瑕疵得0.5 分，有缺项漏项得 0 分。满分3分； ②安全标识、安全教育培训、文明施工检查措施：每完全满足一个评审标准得1分，有瑕疵得0.5 分，有缺项漏项得 0 分。满分3分；③环境保护控制措施：每完全满足一个评审标准得1分，有瑕疵得0.5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一、评审内容 供应商提供针对本项目实际需求提供施工机械配备投入计划。 二、评审标准 1.完整性：内容必须全面，对评审内容中的要求有详细描述； 2.可实施性：切合本项目实际情况，提出步骤清晰、合理的方案； 3.针对性：方案能够紧扣项目实际情况，内容科学合理。 三、赋分标准（满分3分） 施工机械配备投入计划：每完全满足一个评审标准得1分，有瑕疵得0.5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供应商提供针对本项目提供应急预案，内容包括但不限于：①突发事件处理；②恶劣天气影响应急预案；③重大活动检查、临检应急预案等。 二、评审标准 1.完整性：内容必须全面，对评审内容中的各项要求有详细描述； 2.可实施性：切合本项目实际情况，提出步骤清晰、合理的方案； 3.针对性：方案能够紧扣项目实际情况，内容科学合理。 三、赋分标准（满分9分） ①突发事件处理：每完全满足一个评审标准得1分，有瑕疵得0.5 分，有缺项漏项得 0 分。满分3分； ②恶劣天气影响应急预案：每完全满足一个评审标准得1分，有瑕疵得0.5 分，有缺项漏项得 0 分。满分3分； ③重大活动检查、临检应急预案等：每完全满足一个评审标准得1分，有瑕疵得0.5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 二、评审标准 1.完整性：内容必须全面，对评审内容中的各项要求有详细描述； 2.可实施性：切合本项目实际情况，提出步骤清晰、合理的方案； 3.针对性：方案能够紧扣项目实际情况，内容科学合理。 三、赋分标准（满分9分） ①验收方案：每完全满足一个评审标准得1分，有瑕疵得0.5 分，有缺项漏项得 0 分。满分3分； ②维保措施：每完全满足一个评审标准得1分，有瑕疵得0.5 分，有缺项漏项得 0 分。满分3分； ③保修责任及保修承诺：每完全满足一个评审标准得1分，有瑕疵得0.5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供应商提供2023年1月起至今类似业绩合同，一个业绩2分（以合同签订时间为准），最高得10分。注：提供合同复印件并加盖单位公章。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详见附件：1.服务要求响应表.docx</w:t>
      </w:r>
    </w:p>
    <w:p>
      <w:pPr>
        <w:pStyle w:val="null3"/>
        <w:ind w:firstLine="960"/>
      </w:pPr>
      <w:r>
        <w:rPr>
          <w:rFonts w:ascii="仿宋_GB2312" w:hAnsi="仿宋_GB2312" w:cs="仿宋_GB2312" w:eastAsia="仿宋_GB2312"/>
        </w:rPr>
        <w:t>详见附件：2.资质证明文件（参考格式）.docx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