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0F541D">
      <w:pPr>
        <w:widowControl/>
        <w:jc w:val="center"/>
        <w:rPr>
          <w:rFonts w:hint="eastAsia" w:ascii="宋体" w:hAnsi="宋体" w:eastAsia="宋体" w:cs="宋体"/>
          <w:b/>
          <w:color w:val="auto"/>
          <w:kern w:val="0"/>
          <w:sz w:val="52"/>
          <w:szCs w:val="52"/>
          <w:highlight w:val="none"/>
        </w:rPr>
      </w:pPr>
    </w:p>
    <w:p w14:paraId="11198F20">
      <w:pPr>
        <w:widowControl/>
        <w:jc w:val="center"/>
        <w:rPr>
          <w:rFonts w:hint="eastAsia" w:ascii="宋体" w:hAnsi="宋体" w:eastAsia="宋体" w:cs="宋体"/>
          <w:b/>
          <w:color w:val="auto"/>
          <w:kern w:val="0"/>
          <w:sz w:val="52"/>
          <w:szCs w:val="52"/>
          <w:highlight w:val="none"/>
        </w:rPr>
      </w:pPr>
    </w:p>
    <w:p w14:paraId="23D2DD28">
      <w:pPr>
        <w:widowControl/>
        <w:jc w:val="center"/>
        <w:rPr>
          <w:rFonts w:hint="eastAsia" w:ascii="宋体" w:hAnsi="宋体" w:eastAsia="宋体" w:cs="宋体"/>
          <w:b/>
          <w:color w:val="auto"/>
          <w:kern w:val="0"/>
          <w:sz w:val="52"/>
          <w:szCs w:val="52"/>
          <w:highlight w:val="none"/>
        </w:rPr>
      </w:pPr>
      <w:r>
        <w:rPr>
          <w:rFonts w:hint="eastAsia" w:ascii="宋体" w:hAnsi="宋体" w:eastAsia="宋体" w:cs="宋体"/>
          <w:b/>
          <w:color w:val="auto"/>
          <w:kern w:val="0"/>
          <w:sz w:val="52"/>
          <w:szCs w:val="52"/>
          <w:highlight w:val="none"/>
        </w:rPr>
        <w:t>陕西省建设工程施工合同</w:t>
      </w:r>
    </w:p>
    <w:p w14:paraId="697F1546">
      <w:pPr>
        <w:widowControl/>
        <w:jc w:val="center"/>
        <w:rPr>
          <w:rFonts w:hint="eastAsia" w:ascii="宋体" w:hAnsi="宋体" w:eastAsia="宋体" w:cs="宋体"/>
          <w:b/>
          <w:bCs/>
          <w:color w:val="auto"/>
          <w:kern w:val="0"/>
          <w:sz w:val="36"/>
          <w:szCs w:val="36"/>
          <w:highlight w:val="none"/>
        </w:rPr>
      </w:pPr>
    </w:p>
    <w:p w14:paraId="2B6A2CF6">
      <w:pPr>
        <w:widowControl/>
        <w:jc w:val="center"/>
        <w:rPr>
          <w:rFonts w:hint="eastAsia" w:ascii="宋体" w:hAnsi="宋体" w:eastAsia="宋体" w:cs="宋体"/>
          <w:b/>
          <w:bCs/>
          <w:color w:val="auto"/>
          <w:kern w:val="0"/>
          <w:sz w:val="36"/>
          <w:szCs w:val="36"/>
          <w:highlight w:val="none"/>
        </w:rPr>
      </w:pPr>
      <w:r>
        <w:rPr>
          <w:rFonts w:hint="eastAsia" w:ascii="宋体" w:hAnsi="宋体" w:eastAsia="宋体" w:cs="宋体"/>
          <w:b/>
          <w:bCs/>
          <w:color w:val="auto"/>
          <w:kern w:val="0"/>
          <w:sz w:val="36"/>
          <w:szCs w:val="36"/>
          <w:highlight w:val="none"/>
        </w:rPr>
        <w:t>（示范文本）</w:t>
      </w:r>
    </w:p>
    <w:p w14:paraId="51E642DB">
      <w:pPr>
        <w:widowControl/>
        <w:ind w:firstLine="200"/>
        <w:jc w:val="center"/>
        <w:rPr>
          <w:rFonts w:hint="eastAsia" w:ascii="宋体" w:hAnsi="宋体" w:eastAsia="宋体" w:cs="宋体"/>
          <w:b/>
          <w:bCs/>
          <w:color w:val="auto"/>
          <w:kern w:val="0"/>
          <w:sz w:val="32"/>
          <w:szCs w:val="32"/>
          <w:highlight w:val="none"/>
        </w:rPr>
      </w:pPr>
    </w:p>
    <w:p w14:paraId="42C3852E">
      <w:pPr>
        <w:widowControl/>
        <w:ind w:firstLine="200"/>
        <w:jc w:val="center"/>
        <w:rPr>
          <w:rFonts w:hint="eastAsia" w:ascii="宋体" w:hAnsi="宋体" w:eastAsia="宋体" w:cs="宋体"/>
          <w:b/>
          <w:bCs/>
          <w:color w:val="auto"/>
          <w:kern w:val="0"/>
          <w:sz w:val="32"/>
          <w:szCs w:val="32"/>
          <w:highlight w:val="none"/>
        </w:rPr>
      </w:pPr>
    </w:p>
    <w:p w14:paraId="01C71983">
      <w:pPr>
        <w:widowControl/>
        <w:ind w:firstLine="200"/>
        <w:jc w:val="center"/>
        <w:rPr>
          <w:rFonts w:hint="eastAsia" w:ascii="宋体" w:hAnsi="宋体" w:eastAsia="宋体" w:cs="宋体"/>
          <w:b/>
          <w:bCs/>
          <w:color w:val="auto"/>
          <w:kern w:val="0"/>
          <w:sz w:val="32"/>
          <w:szCs w:val="32"/>
          <w:highlight w:val="none"/>
        </w:rPr>
      </w:pPr>
    </w:p>
    <w:p w14:paraId="0C45E3A7">
      <w:pPr>
        <w:rPr>
          <w:rFonts w:hint="eastAsia" w:ascii="宋体" w:hAnsi="宋体" w:eastAsia="宋体" w:cs="宋体"/>
          <w:b/>
          <w:bCs/>
          <w:color w:val="auto"/>
          <w:sz w:val="32"/>
          <w:szCs w:val="32"/>
          <w:highlight w:val="none"/>
        </w:rPr>
      </w:pPr>
    </w:p>
    <w:p w14:paraId="2BD402CD">
      <w:pPr>
        <w:rPr>
          <w:rFonts w:hint="eastAsia" w:ascii="宋体" w:hAnsi="宋体" w:eastAsia="宋体" w:cs="宋体"/>
          <w:b/>
          <w:bCs/>
          <w:color w:val="auto"/>
          <w:sz w:val="32"/>
          <w:szCs w:val="32"/>
          <w:highlight w:val="none"/>
        </w:rPr>
      </w:pPr>
    </w:p>
    <w:p w14:paraId="7DC3D1D6">
      <w:pPr>
        <w:widowControl/>
        <w:jc w:val="both"/>
        <w:rPr>
          <w:rFonts w:hint="eastAsia" w:ascii="宋体" w:hAnsi="宋体" w:eastAsia="宋体" w:cs="宋体"/>
          <w:b/>
          <w:bCs/>
          <w:color w:val="auto"/>
          <w:kern w:val="0"/>
          <w:sz w:val="32"/>
          <w:szCs w:val="32"/>
          <w:highlight w:val="none"/>
        </w:rPr>
      </w:pPr>
    </w:p>
    <w:p w14:paraId="7953CC61">
      <w:pPr>
        <w:widowControl/>
        <w:ind w:firstLine="200"/>
        <w:jc w:val="center"/>
        <w:rPr>
          <w:rFonts w:hint="eastAsia" w:ascii="宋体" w:hAnsi="宋体" w:eastAsia="宋体" w:cs="宋体"/>
          <w:b/>
          <w:bCs/>
          <w:color w:val="auto"/>
          <w:kern w:val="0"/>
          <w:sz w:val="32"/>
          <w:szCs w:val="32"/>
          <w:highlight w:val="none"/>
        </w:rPr>
      </w:pPr>
    </w:p>
    <w:p w14:paraId="7D092A6E">
      <w:pPr>
        <w:widowControl/>
        <w:ind w:firstLine="200"/>
        <w:jc w:val="center"/>
        <w:rPr>
          <w:rFonts w:hint="eastAsia" w:ascii="宋体" w:hAnsi="宋体" w:eastAsia="宋体" w:cs="宋体"/>
          <w:b/>
          <w:bCs/>
          <w:color w:val="auto"/>
          <w:kern w:val="0"/>
          <w:sz w:val="32"/>
          <w:szCs w:val="32"/>
          <w:highlight w:val="none"/>
        </w:rPr>
      </w:pPr>
    </w:p>
    <w:p w14:paraId="67F7DFA8">
      <w:pPr>
        <w:widowControl/>
        <w:jc w:val="center"/>
        <w:rPr>
          <w:rFonts w:hint="eastAsia" w:ascii="宋体" w:hAnsi="宋体" w:eastAsia="宋体" w:cs="宋体"/>
          <w:b/>
          <w:bCs/>
          <w:color w:val="auto"/>
          <w:kern w:val="0"/>
          <w:sz w:val="36"/>
          <w:szCs w:val="36"/>
          <w:highlight w:val="none"/>
        </w:rPr>
      </w:pPr>
      <w:r>
        <w:rPr>
          <w:rFonts w:hint="eastAsia" w:ascii="宋体" w:hAnsi="宋体" w:eastAsia="宋体" w:cs="宋体"/>
          <w:b/>
          <w:bCs/>
          <w:color w:val="auto"/>
          <w:kern w:val="0"/>
          <w:sz w:val="36"/>
          <w:szCs w:val="36"/>
          <w:highlight w:val="none"/>
        </w:rPr>
        <mc:AlternateContent>
          <mc:Choice Requires="wps">
            <w:drawing>
              <wp:anchor distT="0" distB="0" distL="114300" distR="114300" simplePos="0" relativeHeight="251659264" behindDoc="0" locked="0" layoutInCell="1" allowOverlap="1">
                <wp:simplePos x="0" y="0"/>
                <wp:positionH relativeFrom="column">
                  <wp:posOffset>4229100</wp:posOffset>
                </wp:positionH>
                <wp:positionV relativeFrom="paragraph">
                  <wp:posOffset>99060</wp:posOffset>
                </wp:positionV>
                <wp:extent cx="685800" cy="594360"/>
                <wp:effectExtent l="4445" t="4445" r="14605" b="10795"/>
                <wp:wrapNone/>
                <wp:docPr id="2" name="矩形 2"/>
                <wp:cNvGraphicFramePr/>
                <a:graphic xmlns:a="http://schemas.openxmlformats.org/drawingml/2006/main">
                  <a:graphicData uri="http://schemas.microsoft.com/office/word/2010/wordprocessingShape">
                    <wps:wsp>
                      <wps:cNvSpPr/>
                      <wps:spPr>
                        <a:xfrm>
                          <a:off x="0" y="0"/>
                          <a:ext cx="685800" cy="594360"/>
                        </a:xfrm>
                        <a:prstGeom prst="rect">
                          <a:avLst/>
                        </a:prstGeom>
                        <a:solidFill>
                          <a:srgbClr val="FFFFFF"/>
                        </a:solidFill>
                        <a:ln w="9525" cap="flat" cmpd="sng">
                          <a:solidFill>
                            <a:srgbClr val="FFFFFF"/>
                          </a:solidFill>
                          <a:prstDash val="solid"/>
                          <a:miter/>
                          <a:headEnd type="none" w="med" len="med"/>
                          <a:tailEnd type="none" w="med" len="med"/>
                        </a:ln>
                        <a:effectLst/>
                      </wps:spPr>
                      <wps:txbx>
                        <w:txbxContent>
                          <w:p w14:paraId="62DDE255">
                            <w:pPr>
                              <w:rPr>
                                <w:rFonts w:ascii="宋体" w:hAnsi="宋体"/>
                                <w:b/>
                                <w:sz w:val="44"/>
                                <w:szCs w:val="44"/>
                              </w:rPr>
                            </w:pPr>
                            <w:r>
                              <w:rPr>
                                <w:rFonts w:hint="eastAsia" w:ascii="宋体" w:hAnsi="宋体"/>
                                <w:b/>
                                <w:sz w:val="44"/>
                                <w:szCs w:val="44"/>
                              </w:rPr>
                              <w:t>制</w:t>
                            </w:r>
                          </w:p>
                        </w:txbxContent>
                      </wps:txbx>
                      <wps:bodyPr vert="horz" anchor="t" upright="1"/>
                    </wps:wsp>
                  </a:graphicData>
                </a:graphic>
              </wp:anchor>
            </w:drawing>
          </mc:Choice>
          <mc:Fallback>
            <w:pict>
              <v:rect id="_x0000_s1026" o:spid="_x0000_s1026" o:spt="1" style="position:absolute;left:0pt;margin-left:333pt;margin-top:7.8pt;height:46.8pt;width:54pt;z-index:251659264;mso-width-relative:page;mso-height-relative:page;" fillcolor="#FFFFFF" filled="t" stroked="t" coordsize="21600,21600" o:gfxdata="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GpTl8/XAAAACgEAAA8AAAAAAAAA&#10;AQAgAAAAIgAAAGRycy9kb3ducmV2LnhtbFBLAQIUABQAAAAIAIdO4kCVzUhrEgIAAE0EAAAOAAAA&#10;AAAAAAEAIAAAACYBAABkcnMvZTJvRG9jLnhtbFBLBQYAAAAABgAGAFkBAACqBQAAAAA=&#10;">
                <v:fill on="t" focussize="0,0"/>
                <v:stroke color="#FFFFFF" joinstyle="miter"/>
                <v:imagedata o:title=""/>
                <o:lock v:ext="edit" aspectratio="f"/>
                <v:textbox>
                  <w:txbxContent>
                    <w:p w14:paraId="62DDE255">
                      <w:pPr>
                        <w:rPr>
                          <w:rFonts w:ascii="宋体" w:hAnsi="宋体"/>
                          <w:b/>
                          <w:sz w:val="44"/>
                          <w:szCs w:val="44"/>
                        </w:rPr>
                      </w:pPr>
                      <w:r>
                        <w:rPr>
                          <w:rFonts w:hint="eastAsia" w:ascii="宋体" w:hAnsi="宋体"/>
                          <w:b/>
                          <w:sz w:val="44"/>
                          <w:szCs w:val="44"/>
                        </w:rPr>
                        <w:t>制</w:t>
                      </w:r>
                    </w:p>
                  </w:txbxContent>
                </v:textbox>
              </v:rect>
            </w:pict>
          </mc:Fallback>
        </mc:AlternateContent>
      </w:r>
      <w:r>
        <w:rPr>
          <w:rFonts w:hint="eastAsia" w:ascii="宋体" w:hAnsi="宋体" w:eastAsia="宋体" w:cs="宋体"/>
          <w:b/>
          <w:bCs/>
          <w:color w:val="auto"/>
          <w:spacing w:val="143"/>
          <w:kern w:val="0"/>
          <w:sz w:val="36"/>
          <w:szCs w:val="36"/>
          <w:highlight w:val="none"/>
        </w:rPr>
        <w:t>陕西省建设</w:t>
      </w:r>
      <w:r>
        <w:rPr>
          <w:rFonts w:hint="eastAsia" w:ascii="宋体" w:hAnsi="宋体" w:eastAsia="宋体" w:cs="宋体"/>
          <w:b/>
          <w:bCs/>
          <w:color w:val="auto"/>
          <w:spacing w:val="1"/>
          <w:kern w:val="0"/>
          <w:sz w:val="36"/>
          <w:szCs w:val="36"/>
          <w:highlight w:val="none"/>
        </w:rPr>
        <w:t>厅</w:t>
      </w:r>
    </w:p>
    <w:p w14:paraId="0D665C92">
      <w:pPr>
        <w:widowControl/>
        <w:jc w:val="center"/>
        <w:rPr>
          <w:rFonts w:hint="eastAsia" w:ascii="宋体" w:hAnsi="宋体" w:eastAsia="宋体" w:cs="宋体"/>
          <w:b/>
          <w:bCs/>
          <w:color w:val="auto"/>
          <w:spacing w:val="7"/>
          <w:w w:val="96"/>
          <w:kern w:val="0"/>
          <w:sz w:val="36"/>
          <w:szCs w:val="36"/>
          <w:highlight w:val="none"/>
        </w:rPr>
      </w:pPr>
    </w:p>
    <w:p w14:paraId="5E57A05D">
      <w:pPr>
        <w:widowControl/>
        <w:jc w:val="center"/>
        <w:rPr>
          <w:rFonts w:hint="eastAsia" w:ascii="宋体" w:hAnsi="宋体" w:eastAsia="宋体" w:cs="宋体"/>
          <w:b/>
          <w:bCs/>
          <w:color w:val="auto"/>
          <w:w w:val="96"/>
          <w:kern w:val="0"/>
          <w:sz w:val="36"/>
          <w:szCs w:val="36"/>
          <w:highlight w:val="none"/>
        </w:rPr>
      </w:pPr>
      <w:r>
        <w:rPr>
          <w:rFonts w:hint="eastAsia" w:ascii="宋体" w:hAnsi="宋体" w:eastAsia="宋体" w:cs="宋体"/>
          <w:b/>
          <w:bCs/>
          <w:color w:val="auto"/>
          <w:spacing w:val="7"/>
          <w:w w:val="96"/>
          <w:kern w:val="0"/>
          <w:sz w:val="36"/>
          <w:szCs w:val="36"/>
          <w:highlight w:val="none"/>
        </w:rPr>
        <w:t>陕西省工商行政管理</w:t>
      </w:r>
      <w:r>
        <w:rPr>
          <w:rFonts w:hint="eastAsia" w:ascii="宋体" w:hAnsi="宋体" w:eastAsia="宋体" w:cs="宋体"/>
          <w:b/>
          <w:bCs/>
          <w:color w:val="auto"/>
          <w:w w:val="96"/>
          <w:kern w:val="0"/>
          <w:sz w:val="36"/>
          <w:szCs w:val="36"/>
          <w:highlight w:val="none"/>
        </w:rPr>
        <w:t>局</w:t>
      </w:r>
    </w:p>
    <w:p w14:paraId="45DF7338">
      <w:pPr>
        <w:widowControl/>
        <w:jc w:val="center"/>
        <w:rPr>
          <w:rFonts w:hint="eastAsia" w:ascii="宋体" w:hAnsi="宋体" w:eastAsia="宋体" w:cs="宋体"/>
          <w:b/>
          <w:bCs/>
          <w:color w:val="auto"/>
          <w:kern w:val="0"/>
          <w:sz w:val="36"/>
          <w:szCs w:val="36"/>
          <w:highlight w:val="none"/>
        </w:rPr>
      </w:pPr>
      <w:r>
        <w:rPr>
          <w:rFonts w:hint="eastAsia" w:ascii="宋体" w:hAnsi="宋体" w:eastAsia="宋体" w:cs="宋体"/>
          <w:bCs/>
          <w:color w:val="auto"/>
          <w:kern w:val="0"/>
          <w:sz w:val="36"/>
          <w:szCs w:val="36"/>
          <w:highlight w:val="none"/>
        </w:rPr>
        <w:t>二○    年   月   日</w:t>
      </w:r>
    </w:p>
    <w:p w14:paraId="289950D9">
      <w:pPr>
        <w:keepNext w:val="0"/>
        <w:keepLines w:val="0"/>
        <w:pageBreakBefore w:val="0"/>
        <w:widowControl w:val="0"/>
        <w:kinsoku/>
        <w:wordWrap/>
        <w:overflowPunct/>
        <w:topLinePunct w:val="0"/>
        <w:autoSpaceDE/>
        <w:autoSpaceDN/>
        <w:bidi w:val="0"/>
        <w:adjustRightInd/>
        <w:snapToGrid/>
        <w:spacing w:before="120" w:beforeLines="50" w:after="120" w:afterLines="50" w:line="460" w:lineRule="exact"/>
        <w:jc w:val="center"/>
        <w:textAlignment w:val="auto"/>
        <w:outlineLvl w:val="2"/>
        <w:rPr>
          <w:rFonts w:hint="eastAsia" w:ascii="宋体" w:hAnsi="宋体" w:eastAsia="宋体" w:cs="宋体"/>
          <w:color w:val="auto"/>
          <w:sz w:val="24"/>
          <w:highlight w:val="none"/>
        </w:rPr>
      </w:pPr>
      <w:r>
        <w:rPr>
          <w:rFonts w:hint="eastAsia" w:ascii="宋体" w:hAnsi="宋体" w:eastAsia="宋体" w:cs="宋体"/>
          <w:color w:val="auto"/>
          <w:szCs w:val="21"/>
          <w:highlight w:val="none"/>
        </w:rPr>
        <w:br w:type="page"/>
      </w:r>
      <w:bookmarkStart w:id="0" w:name="_Toc8007"/>
      <w:r>
        <w:rPr>
          <w:rFonts w:hint="eastAsia" w:ascii="宋体" w:hAnsi="宋体" w:eastAsia="宋体" w:cs="宋体"/>
          <w:b/>
          <w:color w:val="auto"/>
          <w:sz w:val="24"/>
          <w:highlight w:val="none"/>
        </w:rPr>
        <w:t>第一部分  协议书</w:t>
      </w:r>
      <w:bookmarkEnd w:id="0"/>
    </w:p>
    <w:p w14:paraId="6CC8CC08">
      <w:pPr>
        <w:pageBreakBefore w:val="0"/>
        <w:kinsoku/>
        <w:wordWrap/>
        <w:overflowPunct/>
        <w:topLinePunct w:val="0"/>
        <w:autoSpaceDE/>
        <w:autoSpaceDN/>
        <w:bidi w:val="0"/>
        <w:spacing w:before="120" w:beforeLines="50" w:after="120" w:afterLines="50"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发包人：</w:t>
      </w:r>
      <w:r>
        <w:rPr>
          <w:rFonts w:hint="eastAsia" w:ascii="宋体" w:hAnsi="宋体" w:eastAsia="宋体" w:cs="宋体"/>
          <w:color w:val="auto"/>
          <w:sz w:val="24"/>
          <w:highlight w:val="none"/>
          <w:u w:val="single"/>
        </w:rPr>
        <w:t xml:space="preserve">   </w:t>
      </w:r>
      <w:r>
        <w:rPr>
          <w:rFonts w:hint="eastAsia" w:ascii="宋体" w:hAnsi="宋体" w:eastAsia="宋体" w:cs="宋体"/>
          <w:b/>
          <w:color w:val="auto"/>
          <w:sz w:val="24"/>
          <w:highlight w:val="none"/>
          <w:u w:val="single"/>
        </w:rPr>
        <w:t xml:space="preserve">                         </w:t>
      </w:r>
    </w:p>
    <w:p w14:paraId="6E267669">
      <w:pPr>
        <w:pageBreakBefore w:val="0"/>
        <w:kinsoku/>
        <w:wordWrap/>
        <w:overflowPunct/>
        <w:topLinePunct w:val="0"/>
        <w:autoSpaceDE/>
        <w:autoSpaceDN/>
        <w:bidi w:val="0"/>
        <w:spacing w:before="120" w:beforeLines="50" w:after="120" w:afterLines="50" w:line="460" w:lineRule="exact"/>
        <w:ind w:firstLine="420"/>
        <w:textAlignment w:val="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承包人：</w:t>
      </w:r>
      <w:r>
        <w:rPr>
          <w:rFonts w:hint="eastAsia" w:ascii="宋体" w:hAnsi="宋体" w:eastAsia="宋体" w:cs="宋体"/>
          <w:color w:val="auto"/>
          <w:sz w:val="24"/>
          <w:highlight w:val="none"/>
          <w:u w:val="single"/>
        </w:rPr>
        <w:t xml:space="preserve">                            </w:t>
      </w:r>
    </w:p>
    <w:p w14:paraId="08F1EAD9">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依照《中华人民共和国民法典》、《中华人民共和国建筑法》及其他有关法律、行政法规，遵循平等、自愿、公平和诚实信用的原则，双方就本建设工程施工事项协商一致，订立本合同。</w:t>
      </w:r>
    </w:p>
    <w:p w14:paraId="712C8D1D">
      <w:pPr>
        <w:pageBreakBefore w:val="0"/>
        <w:kinsoku/>
        <w:wordWrap/>
        <w:overflowPunct/>
        <w:topLinePunct w:val="0"/>
        <w:autoSpaceDE/>
        <w:autoSpaceDN/>
        <w:bidi w:val="0"/>
        <w:spacing w:before="120" w:beforeLines="50" w:after="120" w:afterLines="50" w:line="460" w:lineRule="exact"/>
        <w:ind w:firstLine="420"/>
        <w:textAlignment w:val="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一、工程概况</w:t>
      </w:r>
    </w:p>
    <w:p w14:paraId="1B915233">
      <w:pPr>
        <w:pageBreakBefore w:val="0"/>
        <w:kinsoku/>
        <w:wordWrap/>
        <w:overflowPunct/>
        <w:topLinePunct w:val="0"/>
        <w:autoSpaceDE/>
        <w:autoSpaceDN/>
        <w:bidi w:val="0"/>
        <w:spacing w:before="120" w:beforeLines="50" w:after="120" w:afterLines="50" w:line="460" w:lineRule="exact"/>
        <w:ind w:firstLine="420"/>
        <w:textAlignment w:val="auto"/>
        <w:rPr>
          <w:rFonts w:hint="eastAsia" w:ascii="宋体" w:hAnsi="宋体" w:eastAsia="宋体" w:cs="宋体"/>
          <w:b/>
          <w:color w:val="auto"/>
          <w:kern w:val="0"/>
          <w:sz w:val="24"/>
          <w:highlight w:val="none"/>
        </w:rPr>
      </w:pPr>
      <w:r>
        <w:rPr>
          <w:rFonts w:hint="eastAsia" w:ascii="宋体" w:hAnsi="宋体" w:eastAsia="宋体" w:cs="宋体"/>
          <w:color w:val="auto"/>
          <w:kern w:val="0"/>
          <w:sz w:val="24"/>
          <w:highlight w:val="none"/>
        </w:rPr>
        <w:t>工程名称：</w:t>
      </w:r>
      <w:r>
        <w:rPr>
          <w:rFonts w:hint="eastAsia" w:ascii="宋体" w:hAnsi="宋体" w:eastAsia="宋体" w:cs="宋体"/>
          <w:color w:val="auto"/>
          <w:kern w:val="0"/>
          <w:sz w:val="24"/>
          <w:highlight w:val="none"/>
          <w:u w:val="single"/>
        </w:rPr>
        <w:t xml:space="preserve">                                   </w:t>
      </w:r>
      <w:r>
        <w:rPr>
          <w:rFonts w:hint="eastAsia" w:ascii="宋体" w:hAnsi="宋体" w:eastAsia="宋体" w:cs="宋体"/>
          <w:b/>
          <w:color w:val="auto"/>
          <w:kern w:val="0"/>
          <w:sz w:val="24"/>
          <w:highlight w:val="none"/>
        </w:rPr>
        <w:t xml:space="preserve"> </w:t>
      </w:r>
    </w:p>
    <w:p w14:paraId="7099AF5B">
      <w:pPr>
        <w:pageBreakBefore w:val="0"/>
        <w:kinsoku/>
        <w:wordWrap/>
        <w:overflowPunct/>
        <w:topLinePunct w:val="0"/>
        <w:autoSpaceDE/>
        <w:autoSpaceDN/>
        <w:bidi w:val="0"/>
        <w:spacing w:before="120" w:beforeLines="50" w:after="120" w:afterLines="50" w:line="460" w:lineRule="exact"/>
        <w:ind w:firstLine="420"/>
        <w:textAlignment w:val="auto"/>
        <w:rPr>
          <w:rFonts w:hint="eastAsia" w:ascii="宋体" w:hAnsi="宋体" w:eastAsia="宋体" w:cs="宋体"/>
          <w:color w:val="auto"/>
          <w:kern w:val="0"/>
          <w:sz w:val="24"/>
          <w:highlight w:val="none"/>
          <w:u w:val="single"/>
        </w:rPr>
      </w:pPr>
      <w:r>
        <w:rPr>
          <w:rFonts w:hint="eastAsia" w:ascii="宋体" w:hAnsi="宋体" w:eastAsia="宋体" w:cs="宋体"/>
          <w:color w:val="auto"/>
          <w:kern w:val="0"/>
          <w:sz w:val="24"/>
          <w:highlight w:val="none"/>
        </w:rPr>
        <w:t>工程地点：</w:t>
      </w:r>
      <w:r>
        <w:rPr>
          <w:rFonts w:hint="eastAsia" w:ascii="宋体" w:hAnsi="宋体" w:eastAsia="宋体" w:cs="宋体"/>
          <w:color w:val="auto"/>
          <w:kern w:val="0"/>
          <w:sz w:val="24"/>
          <w:highlight w:val="none"/>
          <w:u w:val="single"/>
        </w:rPr>
        <w:t xml:space="preserve">                                   </w:t>
      </w:r>
    </w:p>
    <w:p w14:paraId="34E43B68">
      <w:pPr>
        <w:pageBreakBefore w:val="0"/>
        <w:kinsoku/>
        <w:wordWrap/>
        <w:overflowPunct/>
        <w:topLinePunct w:val="0"/>
        <w:autoSpaceDE/>
        <w:autoSpaceDN/>
        <w:bidi w:val="0"/>
        <w:spacing w:before="120" w:beforeLines="50" w:after="120" w:afterLines="50" w:line="460" w:lineRule="exact"/>
        <w:ind w:firstLine="420"/>
        <w:textAlignment w:val="auto"/>
        <w:rPr>
          <w:rFonts w:hint="eastAsia" w:ascii="宋体" w:hAnsi="宋体" w:eastAsia="宋体" w:cs="宋体"/>
          <w:color w:val="auto"/>
          <w:sz w:val="24"/>
          <w:highlight w:val="none"/>
        </w:rPr>
      </w:pPr>
      <w:r>
        <w:rPr>
          <w:rFonts w:hint="eastAsia" w:ascii="宋体" w:hAnsi="宋体" w:eastAsia="宋体" w:cs="宋体"/>
          <w:color w:val="auto"/>
          <w:kern w:val="0"/>
          <w:sz w:val="24"/>
          <w:highlight w:val="none"/>
        </w:rPr>
        <w:t>工程规模：</w:t>
      </w:r>
      <w:r>
        <w:rPr>
          <w:rFonts w:hint="eastAsia" w:ascii="宋体" w:hAnsi="宋体" w:eastAsia="宋体" w:cs="宋体"/>
          <w:b/>
          <w:color w:val="auto"/>
          <w:sz w:val="24"/>
          <w:highlight w:val="none"/>
          <w:u w:val="single"/>
        </w:rPr>
        <w:t xml:space="preserve">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                                             </w:t>
      </w:r>
    </w:p>
    <w:p w14:paraId="044537EF">
      <w:pPr>
        <w:pageBreakBefore w:val="0"/>
        <w:kinsoku/>
        <w:wordWrap/>
        <w:overflowPunct/>
        <w:topLinePunct w:val="0"/>
        <w:autoSpaceDE/>
        <w:autoSpaceDN/>
        <w:bidi w:val="0"/>
        <w:spacing w:before="120" w:beforeLines="50" w:after="120" w:afterLines="50" w:line="460" w:lineRule="exact"/>
        <w:ind w:firstLine="42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资金来源：</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 </w:t>
      </w:r>
    </w:p>
    <w:p w14:paraId="34489976">
      <w:pPr>
        <w:pageBreakBefore w:val="0"/>
        <w:kinsoku/>
        <w:wordWrap/>
        <w:overflowPunct/>
        <w:topLinePunct w:val="0"/>
        <w:autoSpaceDE/>
        <w:autoSpaceDN/>
        <w:bidi w:val="0"/>
        <w:spacing w:before="120" w:beforeLines="50" w:after="120" w:afterLines="50" w:line="460" w:lineRule="exact"/>
        <w:ind w:firstLine="420"/>
        <w:textAlignment w:val="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二、工程承包范围</w:t>
      </w:r>
    </w:p>
    <w:p w14:paraId="0B43DD12">
      <w:pPr>
        <w:pageBreakBefore w:val="0"/>
        <w:kinsoku/>
        <w:wordWrap/>
        <w:overflowPunct/>
        <w:topLinePunct w:val="0"/>
        <w:autoSpaceDE/>
        <w:autoSpaceDN/>
        <w:bidi w:val="0"/>
        <w:spacing w:before="120" w:beforeLines="50" w:after="120" w:afterLines="50" w:line="460" w:lineRule="exact"/>
        <w:ind w:firstLine="420"/>
        <w:textAlignment w:val="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承包范围：</w:t>
      </w:r>
      <w:r>
        <w:rPr>
          <w:rFonts w:hint="eastAsia" w:ascii="宋体" w:hAnsi="宋体" w:eastAsia="宋体" w:cs="宋体"/>
          <w:color w:val="auto"/>
          <w:sz w:val="24"/>
          <w:highlight w:val="none"/>
          <w:u w:val="single"/>
        </w:rPr>
        <w:t xml:space="preserve">                                               </w:t>
      </w:r>
    </w:p>
    <w:p w14:paraId="6204FB70">
      <w:pPr>
        <w:pageBreakBefore w:val="0"/>
        <w:kinsoku/>
        <w:wordWrap/>
        <w:overflowPunct/>
        <w:topLinePunct w:val="0"/>
        <w:autoSpaceDE/>
        <w:autoSpaceDN/>
        <w:bidi w:val="0"/>
        <w:spacing w:before="120" w:beforeLines="50" w:after="120" w:afterLines="50" w:line="460" w:lineRule="exact"/>
        <w:ind w:firstLine="420"/>
        <w:textAlignment w:val="auto"/>
        <w:rPr>
          <w:rFonts w:hint="eastAsia" w:ascii="宋体" w:hAnsi="宋体" w:eastAsia="宋体" w:cs="宋体"/>
          <w:b/>
          <w:color w:val="auto"/>
          <w:sz w:val="24"/>
          <w:highlight w:val="none"/>
          <w:u w:val="single"/>
        </w:rPr>
      </w:pPr>
      <w:r>
        <w:rPr>
          <w:rFonts w:hint="eastAsia" w:ascii="宋体" w:hAnsi="宋体" w:eastAsia="宋体" w:cs="宋体"/>
          <w:color w:val="auto"/>
          <w:sz w:val="24"/>
          <w:highlight w:val="none"/>
        </w:rPr>
        <w:t>其中不包括的工程范围：</w:t>
      </w:r>
      <w:r>
        <w:rPr>
          <w:rFonts w:hint="eastAsia" w:ascii="宋体" w:hAnsi="宋体" w:eastAsia="宋体" w:cs="宋体"/>
          <w:b/>
          <w:color w:val="auto"/>
          <w:sz w:val="24"/>
          <w:highlight w:val="none"/>
          <w:u w:val="single"/>
        </w:rPr>
        <w:t xml:space="preserve">                                   </w:t>
      </w:r>
    </w:p>
    <w:p w14:paraId="36631D22">
      <w:pPr>
        <w:pageBreakBefore w:val="0"/>
        <w:kinsoku/>
        <w:wordWrap/>
        <w:overflowPunct/>
        <w:topLinePunct w:val="0"/>
        <w:autoSpaceDE/>
        <w:autoSpaceDN/>
        <w:bidi w:val="0"/>
        <w:spacing w:before="120" w:beforeLines="50" w:after="120" w:afterLines="50" w:line="460" w:lineRule="exact"/>
        <w:ind w:firstLine="420"/>
        <w:textAlignment w:val="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三、合同工期</w:t>
      </w:r>
    </w:p>
    <w:p w14:paraId="5C64B129">
      <w:pPr>
        <w:pageBreakBefore w:val="0"/>
        <w:kinsoku/>
        <w:wordWrap/>
        <w:overflowPunct/>
        <w:topLinePunct w:val="0"/>
        <w:autoSpaceDE/>
        <w:autoSpaceDN/>
        <w:bidi w:val="0"/>
        <w:spacing w:before="120" w:beforeLines="50" w:after="120" w:afterLines="50" w:line="460" w:lineRule="exact"/>
        <w:ind w:firstLine="420"/>
        <w:textAlignment w:val="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开工日期：</w:t>
      </w:r>
      <w:r>
        <w:rPr>
          <w:rFonts w:hint="eastAsia" w:ascii="宋体" w:hAnsi="宋体" w:eastAsia="宋体" w:cs="宋体"/>
          <w:color w:val="auto"/>
          <w:sz w:val="24"/>
          <w:highlight w:val="none"/>
          <w:u w:val="single"/>
        </w:rPr>
        <w:t xml:space="preserve">      </w:t>
      </w:r>
    </w:p>
    <w:p w14:paraId="4BAD0B59">
      <w:pPr>
        <w:pageBreakBefore w:val="0"/>
        <w:kinsoku/>
        <w:wordWrap/>
        <w:overflowPunct/>
        <w:topLinePunct w:val="0"/>
        <w:autoSpaceDE/>
        <w:autoSpaceDN/>
        <w:bidi w:val="0"/>
        <w:spacing w:before="120" w:beforeLines="50" w:after="120" w:afterLines="50" w:line="460" w:lineRule="exact"/>
        <w:ind w:firstLine="420"/>
        <w:textAlignment w:val="auto"/>
        <w:rPr>
          <w:rFonts w:hint="eastAsia" w:ascii="宋体" w:hAnsi="宋体" w:eastAsia="宋体" w:cs="宋体"/>
          <w:b/>
          <w:color w:val="auto"/>
          <w:sz w:val="24"/>
          <w:highlight w:val="none"/>
          <w:u w:val="single"/>
        </w:rPr>
      </w:pPr>
      <w:r>
        <w:rPr>
          <w:rFonts w:hint="eastAsia" w:ascii="宋体" w:hAnsi="宋体" w:eastAsia="宋体" w:cs="宋体"/>
          <w:color w:val="auto"/>
          <w:sz w:val="24"/>
          <w:highlight w:val="none"/>
        </w:rPr>
        <w:t>竣工日期：</w:t>
      </w:r>
      <w:r>
        <w:rPr>
          <w:rFonts w:hint="eastAsia" w:ascii="宋体" w:hAnsi="宋体" w:eastAsia="宋体" w:cs="宋体"/>
          <w:color w:val="auto"/>
          <w:sz w:val="24"/>
          <w:highlight w:val="none"/>
          <w:u w:val="single"/>
        </w:rPr>
        <w:t xml:space="preserve">    </w:t>
      </w:r>
      <w:r>
        <w:rPr>
          <w:rFonts w:hint="eastAsia" w:ascii="宋体" w:hAnsi="宋体" w:eastAsia="宋体" w:cs="宋体"/>
          <w:b/>
          <w:color w:val="auto"/>
          <w:sz w:val="24"/>
          <w:highlight w:val="none"/>
          <w:u w:val="single"/>
        </w:rPr>
        <w:t xml:space="preserve">  </w:t>
      </w:r>
    </w:p>
    <w:p w14:paraId="59EA310B">
      <w:pPr>
        <w:pageBreakBefore w:val="0"/>
        <w:kinsoku/>
        <w:wordWrap/>
        <w:overflowPunct/>
        <w:topLinePunct w:val="0"/>
        <w:autoSpaceDE/>
        <w:autoSpaceDN/>
        <w:bidi w:val="0"/>
        <w:spacing w:before="120" w:beforeLines="50" w:after="120" w:afterLines="50" w:line="460" w:lineRule="exact"/>
        <w:ind w:firstLine="420"/>
        <w:textAlignment w:val="auto"/>
        <w:rPr>
          <w:rFonts w:hint="eastAsia" w:ascii="宋体" w:hAnsi="宋体" w:eastAsia="宋体" w:cs="宋体"/>
          <w:b/>
          <w:bCs/>
          <w:color w:val="auto"/>
          <w:sz w:val="24"/>
          <w:highlight w:val="none"/>
          <w:u w:val="single"/>
          <w:lang w:val="en-US" w:eastAsia="zh-CN"/>
        </w:rPr>
      </w:pPr>
      <w:r>
        <w:rPr>
          <w:rFonts w:hint="eastAsia" w:ascii="宋体" w:hAnsi="宋体" w:eastAsia="宋体" w:cs="宋体"/>
          <w:color w:val="auto"/>
          <w:sz w:val="24"/>
          <w:highlight w:val="none"/>
        </w:rPr>
        <w:t>工期</w:t>
      </w:r>
      <w:r>
        <w:rPr>
          <w:rFonts w:hint="eastAsia" w:ascii="宋体" w:hAnsi="宋体" w:eastAsia="宋体" w:cs="宋体"/>
          <w:color w:val="auto"/>
          <w:sz w:val="24"/>
          <w:highlight w:val="none"/>
          <w:lang w:eastAsia="zh-CN"/>
        </w:rPr>
        <w:t>：</w:t>
      </w:r>
      <w:r>
        <w:rPr>
          <w:rFonts w:hint="eastAsia" w:ascii="宋体" w:hAnsi="宋体" w:eastAsia="宋体" w:cs="宋体"/>
          <w:b/>
          <w:bCs/>
          <w:color w:val="auto"/>
          <w:sz w:val="24"/>
          <w:highlight w:val="none"/>
          <w:u w:val="single"/>
          <w:lang w:val="en-US" w:eastAsia="zh-CN"/>
        </w:rPr>
        <w:t xml:space="preserve">             </w:t>
      </w:r>
    </w:p>
    <w:p w14:paraId="68ADAE92">
      <w:pPr>
        <w:pageBreakBefore w:val="0"/>
        <w:kinsoku/>
        <w:wordWrap/>
        <w:overflowPunct/>
        <w:topLinePunct w:val="0"/>
        <w:autoSpaceDE/>
        <w:autoSpaceDN/>
        <w:bidi w:val="0"/>
        <w:spacing w:before="120" w:beforeLines="50" w:after="120" w:afterLines="50" w:line="460" w:lineRule="exact"/>
        <w:ind w:firstLine="420"/>
        <w:textAlignment w:val="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四、质量标准</w:t>
      </w:r>
    </w:p>
    <w:p w14:paraId="4A488D47">
      <w:pPr>
        <w:pageBreakBefore w:val="0"/>
        <w:kinsoku/>
        <w:wordWrap/>
        <w:overflowPunct/>
        <w:topLinePunct w:val="0"/>
        <w:autoSpaceDE/>
        <w:autoSpaceDN/>
        <w:bidi w:val="0"/>
        <w:spacing w:before="120" w:beforeLines="50" w:after="120" w:afterLines="50" w:line="460" w:lineRule="exact"/>
        <w:ind w:firstLine="420"/>
        <w:textAlignment w:val="auto"/>
        <w:rPr>
          <w:rFonts w:hint="eastAsia" w:ascii="宋体" w:hAnsi="宋体" w:eastAsia="宋体" w:cs="宋体"/>
          <w:b/>
          <w:bCs/>
          <w:color w:val="auto"/>
          <w:sz w:val="24"/>
          <w:highlight w:val="none"/>
          <w:u w:val="single"/>
        </w:rPr>
      </w:pPr>
      <w:r>
        <w:rPr>
          <w:rFonts w:hint="eastAsia" w:ascii="宋体" w:hAnsi="宋体" w:eastAsia="宋体" w:cs="宋体"/>
          <w:color w:val="auto"/>
          <w:sz w:val="24"/>
          <w:highlight w:val="none"/>
        </w:rPr>
        <w:t>工程质量：</w:t>
      </w:r>
      <w:r>
        <w:rPr>
          <w:rFonts w:hint="eastAsia" w:ascii="宋体" w:hAnsi="宋体" w:eastAsia="宋体" w:cs="宋体"/>
          <w:b/>
          <w:bCs/>
          <w:color w:val="auto"/>
          <w:sz w:val="24"/>
          <w:highlight w:val="none"/>
          <w:u w:val="single"/>
          <w:lang w:eastAsia="zh-CN"/>
        </w:rPr>
        <w:t>达到国家现行行业施工验收规范“合格”标准</w:t>
      </w:r>
      <w:r>
        <w:rPr>
          <w:rFonts w:hint="eastAsia" w:ascii="宋体" w:hAnsi="宋体" w:eastAsia="宋体" w:cs="宋体"/>
          <w:b/>
          <w:bCs/>
          <w:color w:val="auto"/>
          <w:sz w:val="24"/>
          <w:highlight w:val="none"/>
          <w:u w:val="single"/>
        </w:rPr>
        <w:t>。</w:t>
      </w:r>
    </w:p>
    <w:p w14:paraId="79632989">
      <w:pPr>
        <w:pageBreakBefore w:val="0"/>
        <w:kinsoku/>
        <w:wordWrap/>
        <w:overflowPunct/>
        <w:topLinePunct w:val="0"/>
        <w:autoSpaceDE/>
        <w:autoSpaceDN/>
        <w:bidi w:val="0"/>
        <w:spacing w:before="120" w:beforeLines="50" w:after="120" w:afterLines="50" w:line="460" w:lineRule="exact"/>
        <w:ind w:firstLine="420"/>
        <w:textAlignment w:val="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五、合同价款</w:t>
      </w:r>
    </w:p>
    <w:p w14:paraId="63E6FA5A">
      <w:pPr>
        <w:pageBreakBefore w:val="0"/>
        <w:kinsoku/>
        <w:wordWrap/>
        <w:overflowPunct/>
        <w:topLinePunct w:val="0"/>
        <w:autoSpaceDE/>
        <w:autoSpaceDN/>
        <w:bidi w:val="0"/>
        <w:spacing w:before="120" w:beforeLines="50" w:after="120" w:afterLines="50" w:line="460" w:lineRule="exact"/>
        <w:ind w:firstLine="42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1、合同总价（大写）：</w:t>
      </w:r>
      <w:r>
        <w:rPr>
          <w:rFonts w:hint="eastAsia" w:ascii="宋体" w:hAnsi="宋体" w:eastAsia="宋体" w:cs="宋体"/>
          <w:b/>
          <w:color w:val="auto"/>
          <w:kern w:val="0"/>
          <w:sz w:val="24"/>
          <w:highlight w:val="none"/>
          <w:u w:val="single"/>
        </w:rPr>
        <w:t xml:space="preserve">           </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（人民币）</w:t>
      </w:r>
    </w:p>
    <w:p w14:paraId="5C417F84">
      <w:pPr>
        <w:pageBreakBefore w:val="0"/>
        <w:kinsoku/>
        <w:wordWrap/>
        <w:overflowPunct/>
        <w:topLinePunct w:val="0"/>
        <w:autoSpaceDE/>
        <w:autoSpaceDN/>
        <w:bidi w:val="0"/>
        <w:spacing w:before="120" w:beforeLines="50" w:after="120" w:afterLines="50" w:line="460" w:lineRule="exact"/>
        <w:ind w:firstLine="42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（小写）￥：</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元</w:t>
      </w:r>
    </w:p>
    <w:p w14:paraId="18D41315">
      <w:pPr>
        <w:pageBreakBefore w:val="0"/>
        <w:kinsoku/>
        <w:wordWrap/>
        <w:overflowPunct/>
        <w:topLinePunct w:val="0"/>
        <w:autoSpaceDE/>
        <w:autoSpaceDN/>
        <w:bidi w:val="0"/>
        <w:spacing w:before="120" w:beforeLines="50" w:after="120" w:afterLines="50" w:line="460" w:lineRule="exact"/>
        <w:ind w:firstLine="42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（其中：措施项目费</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元，安全及文明施工措施项目费</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元。)</w:t>
      </w:r>
    </w:p>
    <w:p w14:paraId="5A39CA95">
      <w:pPr>
        <w:pageBreakBefore w:val="0"/>
        <w:kinsoku/>
        <w:wordWrap/>
        <w:overflowPunct/>
        <w:topLinePunct w:val="0"/>
        <w:autoSpaceDE/>
        <w:autoSpaceDN/>
        <w:bidi w:val="0"/>
        <w:spacing w:before="120" w:beforeLines="50" w:after="120" w:afterLines="50" w:line="460" w:lineRule="exact"/>
        <w:ind w:firstLine="42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2、综合单价：详见承包人的报价书。</w:t>
      </w:r>
    </w:p>
    <w:p w14:paraId="66B842FD">
      <w:pPr>
        <w:pageBreakBefore w:val="0"/>
        <w:kinsoku/>
        <w:wordWrap/>
        <w:overflowPunct/>
        <w:topLinePunct w:val="0"/>
        <w:autoSpaceDE/>
        <w:autoSpaceDN/>
        <w:bidi w:val="0"/>
        <w:spacing w:before="120" w:beforeLines="50" w:after="120" w:afterLines="50" w:line="460" w:lineRule="exact"/>
        <w:ind w:firstLine="420"/>
        <w:textAlignment w:val="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六、组成合同的文件</w:t>
      </w:r>
    </w:p>
    <w:p w14:paraId="7E72A3C3">
      <w:pPr>
        <w:pageBreakBefore w:val="0"/>
        <w:kinsoku/>
        <w:wordWrap/>
        <w:overflowPunct/>
        <w:topLinePunct w:val="0"/>
        <w:autoSpaceDE/>
        <w:autoSpaceDN/>
        <w:bidi w:val="0"/>
        <w:spacing w:before="120" w:beforeLines="50" w:after="120" w:afterLines="50" w:line="460" w:lineRule="exact"/>
        <w:ind w:firstLine="42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组成本合同的文件包括：</w:t>
      </w:r>
    </w:p>
    <w:p w14:paraId="77F1893A">
      <w:pPr>
        <w:pageBreakBefore w:val="0"/>
        <w:kinsoku/>
        <w:wordWrap/>
        <w:overflowPunct/>
        <w:topLinePunct w:val="0"/>
        <w:autoSpaceDE/>
        <w:autoSpaceDN/>
        <w:bidi w:val="0"/>
        <w:spacing w:before="120" w:beforeLines="50" w:after="120" w:afterLines="50" w:line="460" w:lineRule="exact"/>
        <w:ind w:firstLine="42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1、在实施过程中双方共同签署的补充与修正文件、附加协议</w:t>
      </w:r>
    </w:p>
    <w:p w14:paraId="2FE561EA">
      <w:pPr>
        <w:pageBreakBefore w:val="0"/>
        <w:widowControl/>
        <w:kinsoku/>
        <w:wordWrap/>
        <w:overflowPunct/>
        <w:topLinePunct w:val="0"/>
        <w:autoSpaceDE/>
        <w:autoSpaceDN/>
        <w:bidi w:val="0"/>
        <w:spacing w:before="120" w:beforeLines="50" w:after="120" w:afterLines="50" w:line="460" w:lineRule="exact"/>
        <w:ind w:firstLine="480" w:firstLineChars="200"/>
        <w:jc w:val="left"/>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2、本合同协议书</w:t>
      </w:r>
    </w:p>
    <w:p w14:paraId="03E1E7B9">
      <w:pPr>
        <w:pageBreakBefore w:val="0"/>
        <w:widowControl/>
        <w:kinsoku/>
        <w:wordWrap/>
        <w:overflowPunct/>
        <w:topLinePunct w:val="0"/>
        <w:autoSpaceDE/>
        <w:autoSpaceDN/>
        <w:bidi w:val="0"/>
        <w:spacing w:before="120" w:beforeLines="50" w:after="120" w:afterLines="50" w:line="460" w:lineRule="exact"/>
        <w:ind w:firstLine="480" w:firstLineChars="200"/>
        <w:jc w:val="left"/>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3、本合同专用条款</w:t>
      </w:r>
    </w:p>
    <w:p w14:paraId="69678EEE">
      <w:pPr>
        <w:pageBreakBefore w:val="0"/>
        <w:widowControl/>
        <w:kinsoku/>
        <w:wordWrap/>
        <w:overflowPunct/>
        <w:topLinePunct w:val="0"/>
        <w:autoSpaceDE/>
        <w:autoSpaceDN/>
        <w:bidi w:val="0"/>
        <w:spacing w:before="120" w:beforeLines="50" w:after="120" w:afterLines="50" w:line="460" w:lineRule="exact"/>
        <w:ind w:firstLine="480" w:firstLineChars="200"/>
        <w:jc w:val="left"/>
        <w:textAlignment w:val="auto"/>
        <w:rPr>
          <w:rFonts w:hint="eastAsia" w:ascii="宋体" w:hAnsi="宋体" w:eastAsia="宋体" w:cs="宋体"/>
          <w:b/>
          <w:bCs/>
          <w:color w:val="auto"/>
          <w:kern w:val="0"/>
          <w:sz w:val="24"/>
          <w:highlight w:val="none"/>
        </w:rPr>
      </w:pPr>
      <w:r>
        <w:rPr>
          <w:rFonts w:hint="eastAsia" w:ascii="宋体" w:hAnsi="宋体" w:eastAsia="宋体" w:cs="宋体"/>
          <w:color w:val="auto"/>
          <w:kern w:val="0"/>
          <w:sz w:val="24"/>
          <w:highlight w:val="none"/>
        </w:rPr>
        <w:t>4、本合同通用条款</w:t>
      </w:r>
    </w:p>
    <w:p w14:paraId="6E080C42">
      <w:pPr>
        <w:pageBreakBefore w:val="0"/>
        <w:widowControl/>
        <w:kinsoku/>
        <w:wordWrap/>
        <w:overflowPunct/>
        <w:topLinePunct w:val="0"/>
        <w:autoSpaceDE/>
        <w:autoSpaceDN/>
        <w:bidi w:val="0"/>
        <w:spacing w:before="120" w:beforeLines="50" w:after="120" w:afterLines="50" w:line="460" w:lineRule="exact"/>
        <w:ind w:firstLine="480" w:firstLineChars="200"/>
        <w:jc w:val="left"/>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5、成交通知书</w:t>
      </w:r>
    </w:p>
    <w:p w14:paraId="75919A82">
      <w:pPr>
        <w:pageBreakBefore w:val="0"/>
        <w:widowControl/>
        <w:kinsoku/>
        <w:wordWrap/>
        <w:overflowPunct/>
        <w:topLinePunct w:val="0"/>
        <w:autoSpaceDE/>
        <w:autoSpaceDN/>
        <w:bidi w:val="0"/>
        <w:spacing w:before="120" w:beforeLines="50" w:after="120" w:afterLines="50" w:line="460" w:lineRule="exact"/>
        <w:ind w:firstLine="480" w:firstLineChars="200"/>
        <w:jc w:val="left"/>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6、响应文件、工程报价单或预算书及其附件</w:t>
      </w:r>
    </w:p>
    <w:p w14:paraId="20A8FC57">
      <w:pPr>
        <w:pageBreakBefore w:val="0"/>
        <w:widowControl/>
        <w:kinsoku/>
        <w:wordWrap/>
        <w:overflowPunct/>
        <w:topLinePunct w:val="0"/>
        <w:autoSpaceDE/>
        <w:autoSpaceDN/>
        <w:bidi w:val="0"/>
        <w:spacing w:before="120" w:beforeLines="50" w:after="120" w:afterLines="50" w:line="460" w:lineRule="exact"/>
        <w:ind w:firstLine="480" w:firstLineChars="200"/>
        <w:jc w:val="left"/>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7、磋商文件、答疑纪要及工程量清单</w:t>
      </w:r>
    </w:p>
    <w:p w14:paraId="510B49E3">
      <w:pPr>
        <w:pageBreakBefore w:val="0"/>
        <w:widowControl/>
        <w:kinsoku/>
        <w:wordWrap/>
        <w:overflowPunct/>
        <w:topLinePunct w:val="0"/>
        <w:autoSpaceDE/>
        <w:autoSpaceDN/>
        <w:bidi w:val="0"/>
        <w:spacing w:before="120" w:beforeLines="50" w:after="120" w:afterLines="50" w:line="460" w:lineRule="exact"/>
        <w:ind w:firstLine="480" w:firstLineChars="200"/>
        <w:jc w:val="left"/>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8、图纸</w:t>
      </w:r>
    </w:p>
    <w:p w14:paraId="79955F09">
      <w:pPr>
        <w:pageBreakBefore w:val="0"/>
        <w:widowControl/>
        <w:kinsoku/>
        <w:wordWrap/>
        <w:overflowPunct/>
        <w:topLinePunct w:val="0"/>
        <w:autoSpaceDE/>
        <w:autoSpaceDN/>
        <w:bidi w:val="0"/>
        <w:spacing w:before="120" w:beforeLines="50" w:after="120" w:afterLines="50" w:line="460" w:lineRule="exact"/>
        <w:ind w:firstLine="480" w:firstLineChars="200"/>
        <w:jc w:val="left"/>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9、标准、规范及有关技术文件</w:t>
      </w:r>
    </w:p>
    <w:p w14:paraId="439BD998">
      <w:pPr>
        <w:pageBreakBefore w:val="0"/>
        <w:widowControl/>
        <w:kinsoku/>
        <w:wordWrap/>
        <w:overflowPunct/>
        <w:topLinePunct w:val="0"/>
        <w:autoSpaceDE/>
        <w:autoSpaceDN/>
        <w:bidi w:val="0"/>
        <w:spacing w:before="120" w:beforeLines="50" w:after="120" w:afterLines="50" w:line="460" w:lineRule="exact"/>
        <w:ind w:firstLine="480" w:firstLineChars="200"/>
        <w:jc w:val="left"/>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双方为履行本合同的有关洽商、变更等书面协议、文件，视为本合同的组成部分。</w:t>
      </w:r>
    </w:p>
    <w:p w14:paraId="5D495170">
      <w:pPr>
        <w:pageBreakBefore w:val="0"/>
        <w:widowControl/>
        <w:kinsoku/>
        <w:wordWrap/>
        <w:overflowPunct/>
        <w:topLinePunct w:val="0"/>
        <w:autoSpaceDE/>
        <w:autoSpaceDN/>
        <w:bidi w:val="0"/>
        <w:spacing w:before="120" w:beforeLines="50" w:after="120" w:afterLines="50" w:line="460" w:lineRule="exact"/>
        <w:ind w:firstLine="482" w:firstLineChars="200"/>
        <w:jc w:val="left"/>
        <w:textAlignment w:val="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七、本协议书中有关词语含义与本合同第二部分《通用条款》中分别赋予它们的定义相同。</w:t>
      </w:r>
    </w:p>
    <w:p w14:paraId="00EE4EC9">
      <w:pPr>
        <w:pageBreakBefore w:val="0"/>
        <w:widowControl/>
        <w:kinsoku/>
        <w:wordWrap/>
        <w:overflowPunct/>
        <w:topLinePunct w:val="0"/>
        <w:autoSpaceDE/>
        <w:autoSpaceDN/>
        <w:bidi w:val="0"/>
        <w:spacing w:before="120" w:beforeLines="50" w:after="120" w:afterLines="50" w:line="460" w:lineRule="exact"/>
        <w:ind w:firstLine="482" w:firstLineChars="200"/>
        <w:jc w:val="left"/>
        <w:textAlignment w:val="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八、承包人向发包人承诺按照合同约定进行施工、竣工并在质量保修期内承担工程质量保修责任。</w:t>
      </w:r>
    </w:p>
    <w:p w14:paraId="2A4DAD18">
      <w:pPr>
        <w:pageBreakBefore w:val="0"/>
        <w:widowControl/>
        <w:kinsoku/>
        <w:wordWrap/>
        <w:overflowPunct/>
        <w:topLinePunct w:val="0"/>
        <w:autoSpaceDE/>
        <w:autoSpaceDN/>
        <w:bidi w:val="0"/>
        <w:spacing w:before="120" w:beforeLines="50" w:after="120" w:afterLines="50" w:line="460" w:lineRule="exact"/>
        <w:ind w:firstLine="482" w:firstLineChars="200"/>
        <w:jc w:val="left"/>
        <w:textAlignment w:val="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九、发包人向承包人承诺按照合同约定的期限和方式支付合同价款及其他应当支付的款项。</w:t>
      </w:r>
    </w:p>
    <w:p w14:paraId="48C40A4C">
      <w:pPr>
        <w:pageBreakBefore w:val="0"/>
        <w:widowControl/>
        <w:kinsoku/>
        <w:wordWrap/>
        <w:overflowPunct/>
        <w:topLinePunct w:val="0"/>
        <w:autoSpaceDE/>
        <w:autoSpaceDN/>
        <w:bidi w:val="0"/>
        <w:spacing w:before="120" w:beforeLines="50" w:after="120" w:afterLines="50" w:line="460" w:lineRule="exact"/>
        <w:ind w:firstLine="482" w:firstLineChars="200"/>
        <w:jc w:val="left"/>
        <w:textAlignment w:val="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十、合同生效</w:t>
      </w:r>
    </w:p>
    <w:p w14:paraId="3097C7F6">
      <w:pPr>
        <w:pageBreakBefore w:val="0"/>
        <w:widowControl/>
        <w:kinsoku/>
        <w:wordWrap/>
        <w:overflowPunct/>
        <w:topLinePunct w:val="0"/>
        <w:autoSpaceDE/>
        <w:autoSpaceDN/>
        <w:bidi w:val="0"/>
        <w:spacing w:before="120" w:beforeLines="50" w:after="120" w:afterLines="50" w:line="460" w:lineRule="exact"/>
        <w:ind w:firstLine="480" w:firstLineChars="2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合同订立时间：</w:t>
      </w:r>
      <w:r>
        <w:rPr>
          <w:rFonts w:hint="eastAsia" w:ascii="宋体" w:hAnsi="宋体" w:eastAsia="宋体" w:cs="宋体"/>
          <w:color w:val="auto"/>
          <w:sz w:val="24"/>
          <w:highlight w:val="none"/>
          <w:u w:val="single"/>
        </w:rPr>
        <w:t xml:space="preserve">  </w:t>
      </w:r>
      <w:r>
        <w:rPr>
          <w:rFonts w:hint="eastAsia" w:ascii="宋体" w:hAnsi="宋体" w:cs="宋体"/>
          <w:b/>
          <w:color w:val="auto"/>
          <w:sz w:val="24"/>
          <w:highlight w:val="none"/>
          <w:u w:val="single"/>
          <w:lang w:val="en-US" w:eastAsia="zh-CN"/>
        </w:rPr>
        <w:t xml:space="preserve"> </w:t>
      </w:r>
      <w:r>
        <w:rPr>
          <w:rFonts w:hint="eastAsia" w:ascii="宋体" w:hAnsi="宋体" w:eastAsia="宋体" w:cs="宋体"/>
          <w:b/>
          <w:color w:val="auto"/>
          <w:sz w:val="24"/>
          <w:highlight w:val="none"/>
          <w:u w:val="single"/>
        </w:rPr>
        <w:t xml:space="preserve">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w:t>
      </w:r>
    </w:p>
    <w:p w14:paraId="60F27FA3">
      <w:pPr>
        <w:pageBreakBefore w:val="0"/>
        <w:widowControl/>
        <w:kinsoku/>
        <w:wordWrap/>
        <w:overflowPunct/>
        <w:topLinePunct w:val="0"/>
        <w:autoSpaceDE/>
        <w:autoSpaceDN/>
        <w:bidi w:val="0"/>
        <w:spacing w:before="120" w:beforeLines="50" w:after="120" w:afterLines="50" w:line="460" w:lineRule="exact"/>
        <w:ind w:firstLine="480" w:firstLineChars="200"/>
        <w:jc w:val="left"/>
        <w:textAlignment w:val="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合同订立地点：</w:t>
      </w:r>
      <w:r>
        <w:rPr>
          <w:rFonts w:hint="eastAsia" w:ascii="宋体" w:hAnsi="宋体" w:eastAsia="宋体" w:cs="宋体"/>
          <w:color w:val="auto"/>
          <w:sz w:val="24"/>
          <w:highlight w:val="none"/>
          <w:u w:val="single"/>
        </w:rPr>
        <w:t xml:space="preserve">                      </w:t>
      </w:r>
      <w:bookmarkStart w:id="36" w:name="_GoBack"/>
      <w:bookmarkEnd w:id="36"/>
    </w:p>
    <w:p w14:paraId="3C6C60AA">
      <w:pPr>
        <w:pageBreakBefore w:val="0"/>
        <w:widowControl/>
        <w:kinsoku/>
        <w:wordWrap/>
        <w:overflowPunct/>
        <w:topLinePunct w:val="0"/>
        <w:autoSpaceDE/>
        <w:autoSpaceDN/>
        <w:bidi w:val="0"/>
        <w:spacing w:before="120" w:beforeLines="50" w:after="120" w:afterLines="50" w:line="460" w:lineRule="exact"/>
        <w:ind w:firstLine="480" w:firstLineChars="2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本合同双方约定</w:t>
      </w:r>
      <w:r>
        <w:rPr>
          <w:rFonts w:hint="eastAsia" w:ascii="宋体" w:hAnsi="宋体" w:eastAsia="宋体" w:cs="宋体"/>
          <w:color w:val="auto"/>
          <w:sz w:val="24"/>
          <w:highlight w:val="none"/>
          <w:u w:val="single"/>
        </w:rPr>
        <w:t xml:space="preserve">     </w:t>
      </w:r>
      <w:r>
        <w:rPr>
          <w:rFonts w:hint="eastAsia" w:ascii="宋体" w:hAnsi="宋体" w:eastAsia="宋体" w:cs="宋体"/>
          <w:b/>
          <w:color w:val="auto"/>
          <w:sz w:val="24"/>
          <w:highlight w:val="none"/>
          <w:u w:val="single"/>
        </w:rPr>
        <w:t>签字盖章</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 后生效。  </w:t>
      </w:r>
    </w:p>
    <w:p w14:paraId="0E0F2BE7">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发包人：  (公章)                     </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承包人：  (公章)</w:t>
      </w:r>
    </w:p>
    <w:p w14:paraId="462B7C44">
      <w:pPr>
        <w:pageBreakBefore w:val="0"/>
        <w:kinsoku/>
        <w:wordWrap/>
        <w:overflowPunct/>
        <w:topLinePunct w:val="0"/>
        <w:autoSpaceDE/>
        <w:autoSpaceDN/>
        <w:bidi w:val="0"/>
        <w:spacing w:line="460" w:lineRule="exact"/>
        <w:textAlignment w:val="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 xml:space="preserve">                                 </w:t>
      </w:r>
    </w:p>
    <w:p w14:paraId="301699A4">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法定代表人或其委托代理人：（签字）      法定代表人或其委托代理人：（签字）</w:t>
      </w:r>
    </w:p>
    <w:p w14:paraId="545DA0FD">
      <w:pPr>
        <w:pageBreakBefore w:val="0"/>
        <w:tabs>
          <w:tab w:val="left" w:pos="4410"/>
        </w:tabs>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组织机构代码：</w:t>
      </w:r>
      <w:r>
        <w:rPr>
          <w:rFonts w:hint="eastAsia" w:ascii="宋体" w:hAnsi="宋体" w:eastAsia="宋体" w:cs="宋体"/>
          <w:color w:val="auto"/>
          <w:sz w:val="24"/>
          <w:highlight w:val="none"/>
          <w:u w:val="single"/>
        </w:rPr>
        <w:t xml:space="preserve">       </w:t>
      </w:r>
      <w:r>
        <w:rPr>
          <w:rFonts w:hint="eastAsia" w:ascii="宋体" w:hAnsi="宋体" w:eastAsia="宋体" w:cs="宋体"/>
          <w:color w:val="auto"/>
          <w:sz w:val="24"/>
          <w:highlight w:val="none"/>
        </w:rPr>
        <w:t xml:space="preserve">               组织机构代码：</w:t>
      </w:r>
      <w:r>
        <w:rPr>
          <w:rFonts w:hint="eastAsia" w:ascii="宋体" w:hAnsi="宋体" w:eastAsia="宋体" w:cs="宋体"/>
          <w:color w:val="auto"/>
          <w:sz w:val="24"/>
          <w:highlight w:val="none"/>
          <w:u w:val="single"/>
        </w:rPr>
        <w:t xml:space="preserve">           </w:t>
      </w:r>
      <w:r>
        <w:rPr>
          <w:rFonts w:hint="eastAsia" w:ascii="宋体" w:hAnsi="宋体" w:eastAsia="宋体" w:cs="宋体"/>
          <w:color w:val="auto"/>
          <w:sz w:val="24"/>
          <w:highlight w:val="none"/>
        </w:rPr>
        <w:t xml:space="preserve"> </w:t>
      </w:r>
    </w:p>
    <w:p w14:paraId="47A9FA03">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地  址：</w:t>
      </w:r>
      <w:r>
        <w:rPr>
          <w:rFonts w:hint="eastAsia" w:ascii="宋体" w:hAnsi="宋体" w:eastAsia="宋体" w:cs="宋体"/>
          <w:color w:val="auto"/>
          <w:sz w:val="24"/>
          <w:highlight w:val="none"/>
          <w:u w:val="single"/>
        </w:rPr>
        <w:t xml:space="preserve">     </w:t>
      </w:r>
      <w:r>
        <w:rPr>
          <w:rFonts w:hint="eastAsia" w:ascii="宋体" w:hAnsi="宋体" w:eastAsia="宋体" w:cs="宋体"/>
          <w:color w:val="auto"/>
          <w:sz w:val="24"/>
          <w:highlight w:val="none"/>
        </w:rPr>
        <w:t xml:space="preserve">               地  址：</w:t>
      </w:r>
      <w:r>
        <w:rPr>
          <w:rFonts w:hint="eastAsia" w:ascii="宋体" w:hAnsi="宋体" w:eastAsia="宋体" w:cs="宋体"/>
          <w:color w:val="auto"/>
          <w:sz w:val="24"/>
          <w:highlight w:val="none"/>
          <w:u w:val="single"/>
        </w:rPr>
        <w:t xml:space="preserve">       </w:t>
      </w:r>
    </w:p>
    <w:p w14:paraId="0B81C636">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邮政编码：</w:t>
      </w:r>
      <w:r>
        <w:rPr>
          <w:rFonts w:hint="eastAsia" w:ascii="宋体" w:hAnsi="宋体" w:eastAsia="宋体" w:cs="宋体"/>
          <w:color w:val="auto"/>
          <w:sz w:val="24"/>
          <w:highlight w:val="none"/>
          <w:u w:val="single"/>
        </w:rPr>
        <w:t xml:space="preserve">       </w:t>
      </w:r>
      <w:r>
        <w:rPr>
          <w:rFonts w:hint="eastAsia" w:ascii="宋体" w:hAnsi="宋体" w:eastAsia="宋体" w:cs="宋体"/>
          <w:color w:val="auto"/>
          <w:sz w:val="24"/>
          <w:highlight w:val="none"/>
        </w:rPr>
        <w:t xml:space="preserve">               邮政编码：</w:t>
      </w:r>
      <w:r>
        <w:rPr>
          <w:rFonts w:hint="eastAsia" w:ascii="宋体" w:hAnsi="宋体" w:eastAsia="宋体" w:cs="宋体"/>
          <w:color w:val="auto"/>
          <w:sz w:val="24"/>
          <w:highlight w:val="none"/>
          <w:u w:val="single"/>
        </w:rPr>
        <w:t xml:space="preserve">        </w:t>
      </w:r>
    </w:p>
    <w:p w14:paraId="0583EBAB">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w:t>
      </w:r>
      <w:r>
        <w:rPr>
          <w:rFonts w:hint="eastAsia" w:ascii="宋体" w:hAnsi="宋体" w:eastAsia="宋体" w:cs="宋体"/>
          <w:color w:val="auto"/>
          <w:sz w:val="24"/>
          <w:highlight w:val="none"/>
          <w:u w:val="single"/>
        </w:rPr>
        <w:t xml:space="preserve">           </w:t>
      </w:r>
      <w:r>
        <w:rPr>
          <w:rFonts w:hint="eastAsia" w:ascii="宋体" w:hAnsi="宋体" w:eastAsia="宋体" w:cs="宋体"/>
          <w:color w:val="auto"/>
          <w:sz w:val="24"/>
          <w:highlight w:val="none"/>
        </w:rPr>
        <w:t xml:space="preserve">               法定代表人：</w:t>
      </w:r>
      <w:r>
        <w:rPr>
          <w:rFonts w:hint="eastAsia" w:ascii="宋体" w:hAnsi="宋体" w:eastAsia="宋体" w:cs="宋体"/>
          <w:color w:val="auto"/>
          <w:sz w:val="24"/>
          <w:highlight w:val="none"/>
          <w:u w:val="single"/>
        </w:rPr>
        <w:t xml:space="preserve">             </w:t>
      </w:r>
    </w:p>
    <w:p w14:paraId="2E322FA8">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委托代理人：</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               委托代理人：</w:t>
      </w:r>
      <w:r>
        <w:rPr>
          <w:rFonts w:hint="eastAsia" w:ascii="宋体" w:hAnsi="宋体" w:eastAsia="宋体" w:cs="宋体"/>
          <w:color w:val="auto"/>
          <w:sz w:val="24"/>
          <w:highlight w:val="none"/>
          <w:u w:val="single"/>
        </w:rPr>
        <w:t xml:space="preserve">             </w:t>
      </w:r>
    </w:p>
    <w:p w14:paraId="27257A72">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电  话：</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               电  话：</w:t>
      </w:r>
      <w:r>
        <w:rPr>
          <w:rFonts w:hint="eastAsia" w:ascii="宋体" w:hAnsi="宋体" w:eastAsia="宋体" w:cs="宋体"/>
          <w:color w:val="auto"/>
          <w:sz w:val="24"/>
          <w:highlight w:val="none"/>
          <w:u w:val="single"/>
        </w:rPr>
        <w:t xml:space="preserve">     </w:t>
      </w:r>
    </w:p>
    <w:p w14:paraId="33C38CEC">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传  真：</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               传  真：</w:t>
      </w:r>
      <w:r>
        <w:rPr>
          <w:rFonts w:hint="eastAsia" w:ascii="宋体" w:hAnsi="宋体" w:eastAsia="宋体" w:cs="宋体"/>
          <w:color w:val="auto"/>
          <w:sz w:val="24"/>
          <w:highlight w:val="none"/>
          <w:u w:val="single"/>
        </w:rPr>
        <w:t xml:space="preserve">  </w:t>
      </w:r>
    </w:p>
    <w:p w14:paraId="49B88EC2">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电子信箱：</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               电子信箱：</w:t>
      </w:r>
      <w:r>
        <w:rPr>
          <w:rFonts w:hint="eastAsia" w:ascii="宋体" w:hAnsi="宋体" w:eastAsia="宋体" w:cs="宋体"/>
          <w:color w:val="auto"/>
          <w:sz w:val="24"/>
          <w:highlight w:val="none"/>
          <w:u w:val="single"/>
        </w:rPr>
        <w:t></w:t>
      </w:r>
    </w:p>
    <w:p w14:paraId="408E089A">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开户银行：</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               开户银行：</w:t>
      </w:r>
      <w:r>
        <w:rPr>
          <w:rFonts w:hint="eastAsia" w:ascii="宋体" w:hAnsi="宋体" w:eastAsia="宋体" w:cs="宋体"/>
          <w:color w:val="auto"/>
          <w:sz w:val="24"/>
          <w:highlight w:val="none"/>
          <w:u w:val="single"/>
        </w:rPr>
        <w:t></w:t>
      </w:r>
    </w:p>
    <w:p w14:paraId="2E4DA2F6">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b/>
          <w:color w:val="auto"/>
          <w:sz w:val="24"/>
          <w:highlight w:val="none"/>
        </w:rPr>
      </w:pPr>
      <w:r>
        <w:rPr>
          <w:rFonts w:hint="eastAsia" w:ascii="宋体" w:hAnsi="宋体" w:eastAsia="宋体" w:cs="宋体"/>
          <w:color w:val="auto"/>
          <w:sz w:val="24"/>
          <w:highlight w:val="none"/>
        </w:rPr>
        <w:t>账  号：</w:t>
      </w:r>
      <w:r>
        <w:rPr>
          <w:rFonts w:hint="eastAsia" w:ascii="宋体" w:hAnsi="宋体" w:eastAsia="宋体" w:cs="宋体"/>
          <w:color w:val="auto"/>
          <w:sz w:val="24"/>
          <w:highlight w:val="none"/>
          <w:u w:val="single"/>
        </w:rPr>
        <w:t xml:space="preserve">       </w:t>
      </w:r>
      <w:r>
        <w:rPr>
          <w:rFonts w:hint="eastAsia" w:ascii="宋体" w:hAnsi="宋体" w:eastAsia="宋体" w:cs="宋体"/>
          <w:color w:val="auto"/>
          <w:sz w:val="24"/>
          <w:highlight w:val="none"/>
        </w:rPr>
        <w:t xml:space="preserve">               账  号：</w:t>
      </w:r>
      <w:r>
        <w:rPr>
          <w:rFonts w:hint="eastAsia" w:ascii="宋体" w:hAnsi="宋体" w:eastAsia="宋体" w:cs="宋体"/>
          <w:color w:val="auto"/>
          <w:sz w:val="24"/>
          <w:highlight w:val="none"/>
          <w:u w:val="single"/>
        </w:rPr>
        <w:t xml:space="preserve">     </w:t>
      </w:r>
    </w:p>
    <w:p w14:paraId="0A919D19">
      <w:pPr>
        <w:pageBreakBefore w:val="0"/>
        <w:kinsoku/>
        <w:wordWrap/>
        <w:overflowPunct/>
        <w:topLinePunct w:val="0"/>
        <w:autoSpaceDE/>
        <w:autoSpaceDN/>
        <w:bidi w:val="0"/>
        <w:spacing w:before="120" w:beforeLines="50" w:after="120" w:afterLines="50" w:line="460" w:lineRule="exact"/>
        <w:jc w:val="center"/>
        <w:textAlignment w:val="auto"/>
        <w:rPr>
          <w:rFonts w:hint="eastAsia" w:ascii="宋体" w:hAnsi="宋体" w:eastAsia="宋体" w:cs="宋体"/>
          <w:b/>
          <w:color w:val="auto"/>
          <w:sz w:val="24"/>
          <w:highlight w:val="none"/>
        </w:rPr>
      </w:pPr>
    </w:p>
    <w:p w14:paraId="702AFA64">
      <w:pPr>
        <w:pageBreakBefore w:val="0"/>
        <w:kinsoku/>
        <w:wordWrap/>
        <w:overflowPunct/>
        <w:topLinePunct w:val="0"/>
        <w:autoSpaceDE/>
        <w:autoSpaceDN/>
        <w:bidi w:val="0"/>
        <w:spacing w:before="120" w:beforeLines="50" w:after="120" w:afterLines="50" w:line="460" w:lineRule="exact"/>
        <w:jc w:val="center"/>
        <w:textAlignment w:val="auto"/>
        <w:rPr>
          <w:rFonts w:hint="eastAsia" w:ascii="宋体" w:hAnsi="宋体" w:eastAsia="宋体" w:cs="宋体"/>
          <w:b/>
          <w:color w:val="auto"/>
          <w:sz w:val="24"/>
          <w:highlight w:val="none"/>
        </w:rPr>
      </w:pPr>
    </w:p>
    <w:p w14:paraId="7F3CEE01">
      <w:pPr>
        <w:pageBreakBefore w:val="0"/>
        <w:kinsoku/>
        <w:wordWrap/>
        <w:overflowPunct/>
        <w:topLinePunct w:val="0"/>
        <w:autoSpaceDE/>
        <w:autoSpaceDN/>
        <w:bidi w:val="0"/>
        <w:spacing w:before="120" w:beforeLines="50" w:after="120" w:afterLines="50" w:line="460" w:lineRule="exact"/>
        <w:jc w:val="center"/>
        <w:textAlignment w:val="auto"/>
        <w:rPr>
          <w:rFonts w:hint="eastAsia" w:ascii="宋体" w:hAnsi="宋体" w:eastAsia="宋体" w:cs="宋体"/>
          <w:b/>
          <w:color w:val="auto"/>
          <w:sz w:val="24"/>
          <w:highlight w:val="none"/>
        </w:rPr>
      </w:pPr>
    </w:p>
    <w:p w14:paraId="722238B3">
      <w:pPr>
        <w:pageBreakBefore w:val="0"/>
        <w:kinsoku/>
        <w:wordWrap/>
        <w:overflowPunct/>
        <w:topLinePunct w:val="0"/>
        <w:autoSpaceDE/>
        <w:autoSpaceDN/>
        <w:bidi w:val="0"/>
        <w:spacing w:before="120" w:beforeLines="50" w:after="120" w:afterLines="50" w:line="460" w:lineRule="exact"/>
        <w:jc w:val="center"/>
        <w:textAlignment w:val="auto"/>
        <w:rPr>
          <w:rFonts w:hint="eastAsia" w:ascii="宋体" w:hAnsi="宋体" w:eastAsia="宋体" w:cs="宋体"/>
          <w:b/>
          <w:color w:val="auto"/>
          <w:sz w:val="24"/>
          <w:highlight w:val="none"/>
        </w:rPr>
      </w:pPr>
    </w:p>
    <w:p w14:paraId="17B39A84">
      <w:pPr>
        <w:pageBreakBefore w:val="0"/>
        <w:kinsoku/>
        <w:wordWrap/>
        <w:overflowPunct/>
        <w:topLinePunct w:val="0"/>
        <w:autoSpaceDE/>
        <w:autoSpaceDN/>
        <w:bidi w:val="0"/>
        <w:spacing w:before="120" w:beforeLines="50" w:after="120" w:afterLines="50" w:line="460" w:lineRule="exact"/>
        <w:jc w:val="center"/>
        <w:textAlignment w:val="auto"/>
        <w:rPr>
          <w:rFonts w:hint="eastAsia" w:ascii="宋体" w:hAnsi="宋体" w:eastAsia="宋体" w:cs="宋体"/>
          <w:b/>
          <w:color w:val="auto"/>
          <w:sz w:val="24"/>
          <w:highlight w:val="none"/>
        </w:rPr>
      </w:pPr>
    </w:p>
    <w:p w14:paraId="4909BCC1">
      <w:pPr>
        <w:pageBreakBefore w:val="0"/>
        <w:kinsoku/>
        <w:wordWrap/>
        <w:overflowPunct/>
        <w:topLinePunct w:val="0"/>
        <w:autoSpaceDE/>
        <w:autoSpaceDN/>
        <w:bidi w:val="0"/>
        <w:spacing w:before="120" w:beforeLines="50" w:after="120" w:afterLines="50" w:line="460" w:lineRule="exact"/>
        <w:jc w:val="center"/>
        <w:textAlignment w:val="auto"/>
        <w:rPr>
          <w:rFonts w:hint="eastAsia" w:ascii="宋体" w:hAnsi="宋体" w:eastAsia="宋体" w:cs="宋体"/>
          <w:b/>
          <w:color w:val="auto"/>
          <w:sz w:val="24"/>
          <w:highlight w:val="none"/>
        </w:rPr>
      </w:pPr>
    </w:p>
    <w:p w14:paraId="7B5FBD8F">
      <w:pPr>
        <w:pageBreakBefore w:val="0"/>
        <w:kinsoku/>
        <w:wordWrap/>
        <w:overflowPunct/>
        <w:topLinePunct w:val="0"/>
        <w:autoSpaceDE/>
        <w:autoSpaceDN/>
        <w:bidi w:val="0"/>
        <w:spacing w:before="120" w:beforeLines="50" w:after="120" w:afterLines="50" w:line="460" w:lineRule="exact"/>
        <w:jc w:val="center"/>
        <w:textAlignment w:val="auto"/>
        <w:rPr>
          <w:rFonts w:hint="eastAsia" w:ascii="宋体" w:hAnsi="宋体" w:eastAsia="宋体" w:cs="宋体"/>
          <w:b/>
          <w:color w:val="auto"/>
          <w:sz w:val="24"/>
          <w:highlight w:val="none"/>
        </w:rPr>
      </w:pPr>
    </w:p>
    <w:p w14:paraId="0EA905AE">
      <w:pPr>
        <w:pageBreakBefore w:val="0"/>
        <w:kinsoku/>
        <w:wordWrap/>
        <w:overflowPunct/>
        <w:topLinePunct w:val="0"/>
        <w:autoSpaceDE/>
        <w:autoSpaceDN/>
        <w:bidi w:val="0"/>
        <w:spacing w:before="120" w:beforeLines="50" w:after="120" w:afterLines="50" w:line="460" w:lineRule="exact"/>
        <w:jc w:val="center"/>
        <w:textAlignment w:val="auto"/>
        <w:rPr>
          <w:rFonts w:hint="eastAsia" w:ascii="宋体" w:hAnsi="宋体" w:eastAsia="宋体" w:cs="宋体"/>
          <w:b/>
          <w:color w:val="auto"/>
          <w:sz w:val="24"/>
          <w:highlight w:val="none"/>
        </w:rPr>
      </w:pPr>
    </w:p>
    <w:p w14:paraId="0BC4F5AB">
      <w:pPr>
        <w:pageBreakBefore w:val="0"/>
        <w:kinsoku/>
        <w:wordWrap/>
        <w:overflowPunct/>
        <w:topLinePunct w:val="0"/>
        <w:autoSpaceDE/>
        <w:autoSpaceDN/>
        <w:bidi w:val="0"/>
        <w:spacing w:before="120" w:beforeLines="50" w:after="120" w:afterLines="50" w:line="460" w:lineRule="exact"/>
        <w:jc w:val="center"/>
        <w:textAlignment w:val="auto"/>
        <w:rPr>
          <w:rFonts w:hint="eastAsia" w:ascii="宋体" w:hAnsi="宋体" w:eastAsia="宋体" w:cs="宋体"/>
          <w:b/>
          <w:color w:val="auto"/>
          <w:sz w:val="24"/>
          <w:highlight w:val="none"/>
        </w:rPr>
      </w:pPr>
    </w:p>
    <w:p w14:paraId="51E56080">
      <w:pPr>
        <w:pageBreakBefore w:val="0"/>
        <w:kinsoku/>
        <w:wordWrap/>
        <w:overflowPunct/>
        <w:topLinePunct w:val="0"/>
        <w:autoSpaceDE/>
        <w:autoSpaceDN/>
        <w:bidi w:val="0"/>
        <w:spacing w:before="120" w:beforeLines="50" w:after="120" w:afterLines="50" w:line="460" w:lineRule="exact"/>
        <w:jc w:val="center"/>
        <w:textAlignment w:val="auto"/>
        <w:rPr>
          <w:rFonts w:hint="eastAsia" w:ascii="宋体" w:hAnsi="宋体" w:eastAsia="宋体" w:cs="宋体"/>
          <w:b/>
          <w:color w:val="auto"/>
          <w:sz w:val="24"/>
          <w:highlight w:val="none"/>
        </w:rPr>
      </w:pPr>
    </w:p>
    <w:p w14:paraId="267F836E">
      <w:pPr>
        <w:pageBreakBefore w:val="0"/>
        <w:kinsoku/>
        <w:wordWrap/>
        <w:overflowPunct/>
        <w:topLinePunct w:val="0"/>
        <w:autoSpaceDE/>
        <w:autoSpaceDN/>
        <w:bidi w:val="0"/>
        <w:spacing w:before="120" w:beforeLines="50" w:after="120" w:afterLines="50" w:line="460" w:lineRule="exact"/>
        <w:jc w:val="center"/>
        <w:textAlignment w:val="auto"/>
        <w:rPr>
          <w:rFonts w:hint="eastAsia" w:ascii="宋体" w:hAnsi="宋体" w:eastAsia="宋体" w:cs="宋体"/>
          <w:b/>
          <w:color w:val="auto"/>
          <w:sz w:val="24"/>
          <w:highlight w:val="none"/>
        </w:rPr>
      </w:pPr>
    </w:p>
    <w:p w14:paraId="7ECBF2AA">
      <w:pPr>
        <w:pageBreakBefore w:val="0"/>
        <w:kinsoku/>
        <w:wordWrap/>
        <w:overflowPunct/>
        <w:topLinePunct w:val="0"/>
        <w:autoSpaceDE/>
        <w:autoSpaceDN/>
        <w:bidi w:val="0"/>
        <w:spacing w:before="120" w:beforeLines="50" w:after="120" w:afterLines="50" w:line="460" w:lineRule="exact"/>
        <w:jc w:val="center"/>
        <w:textAlignment w:val="auto"/>
        <w:rPr>
          <w:rFonts w:hint="eastAsia" w:ascii="宋体" w:hAnsi="宋体" w:eastAsia="宋体" w:cs="宋体"/>
          <w:b/>
          <w:color w:val="auto"/>
          <w:sz w:val="24"/>
          <w:highlight w:val="none"/>
        </w:rPr>
      </w:pPr>
    </w:p>
    <w:p w14:paraId="4BE24028">
      <w:pPr>
        <w:pageBreakBefore w:val="0"/>
        <w:kinsoku/>
        <w:wordWrap/>
        <w:overflowPunct/>
        <w:topLinePunct w:val="0"/>
        <w:autoSpaceDE/>
        <w:autoSpaceDN/>
        <w:bidi w:val="0"/>
        <w:spacing w:before="120" w:beforeLines="50" w:after="120" w:afterLines="50" w:line="460" w:lineRule="exact"/>
        <w:jc w:val="both"/>
        <w:textAlignment w:val="auto"/>
        <w:rPr>
          <w:rFonts w:hint="eastAsia" w:ascii="宋体" w:hAnsi="宋体" w:eastAsia="宋体" w:cs="宋体"/>
          <w:b/>
          <w:color w:val="auto"/>
          <w:sz w:val="24"/>
          <w:highlight w:val="none"/>
        </w:rPr>
      </w:pPr>
    </w:p>
    <w:p w14:paraId="675E41CB">
      <w:pPr>
        <w:keepNext w:val="0"/>
        <w:keepLines w:val="0"/>
        <w:pageBreakBefore w:val="0"/>
        <w:widowControl w:val="0"/>
        <w:kinsoku/>
        <w:wordWrap/>
        <w:overflowPunct/>
        <w:topLinePunct w:val="0"/>
        <w:autoSpaceDE/>
        <w:autoSpaceDN/>
        <w:bidi w:val="0"/>
        <w:adjustRightInd/>
        <w:snapToGrid/>
        <w:spacing w:before="120" w:beforeLines="50" w:after="120" w:afterLines="50" w:line="460" w:lineRule="exact"/>
        <w:jc w:val="center"/>
        <w:textAlignment w:val="auto"/>
        <w:outlineLvl w:val="2"/>
        <w:rPr>
          <w:rFonts w:hint="eastAsia" w:ascii="宋体" w:hAnsi="宋体" w:eastAsia="宋体" w:cs="宋体"/>
          <w:b/>
          <w:color w:val="auto"/>
          <w:sz w:val="24"/>
          <w:highlight w:val="none"/>
        </w:rPr>
      </w:pPr>
      <w:bookmarkStart w:id="1" w:name="_Toc1845"/>
      <w:r>
        <w:rPr>
          <w:rFonts w:hint="eastAsia" w:ascii="宋体" w:hAnsi="宋体" w:eastAsia="宋体" w:cs="宋体"/>
          <w:b/>
          <w:color w:val="auto"/>
          <w:sz w:val="24"/>
          <w:highlight w:val="none"/>
        </w:rPr>
        <w:t>第二部分  通用条款</w:t>
      </w:r>
      <w:bookmarkEnd w:id="1"/>
    </w:p>
    <w:p w14:paraId="00477A52">
      <w:pPr>
        <w:pageBreakBefore w:val="0"/>
        <w:kinsoku/>
        <w:wordWrap/>
        <w:overflowPunct/>
        <w:topLinePunct w:val="0"/>
        <w:autoSpaceDE/>
        <w:autoSpaceDN/>
        <w:bidi w:val="0"/>
        <w:spacing w:before="120" w:beforeLines="50" w:after="120" w:afterLines="50" w:line="460" w:lineRule="exact"/>
        <w:textAlignment w:val="auto"/>
        <w:rPr>
          <w:rFonts w:hint="eastAsia" w:ascii="宋体" w:hAnsi="宋体" w:eastAsia="宋体" w:cs="宋体"/>
          <w:b/>
          <w:color w:val="auto"/>
          <w:sz w:val="24"/>
          <w:highlight w:val="none"/>
        </w:rPr>
      </w:pPr>
      <w:bookmarkStart w:id="2" w:name="_Toc332783777"/>
      <w:bookmarkStart w:id="3" w:name="_Toc298261382"/>
      <w:bookmarkStart w:id="4" w:name="_Toc169940957"/>
      <w:bookmarkStart w:id="5" w:name="_Toc145989451"/>
      <w:bookmarkStart w:id="6" w:name="_Toc368069058"/>
      <w:bookmarkStart w:id="7" w:name="_Toc14264"/>
      <w:bookmarkStart w:id="8" w:name="_Toc332318717"/>
      <w:bookmarkStart w:id="9" w:name="_Toc375047925"/>
      <w:bookmarkStart w:id="10" w:name="_Toc405650405"/>
      <w:bookmarkStart w:id="11" w:name="_Toc405821142"/>
      <w:bookmarkStart w:id="12" w:name="_Toc405653341"/>
      <w:bookmarkStart w:id="13" w:name="_Toc221523525"/>
      <w:bookmarkStart w:id="14" w:name="_Toc405800291"/>
      <w:r>
        <w:rPr>
          <w:rFonts w:hint="eastAsia" w:ascii="宋体" w:hAnsi="宋体" w:eastAsia="宋体" w:cs="宋体"/>
          <w:b/>
          <w:color w:val="auto"/>
          <w:sz w:val="24"/>
          <w:highlight w:val="none"/>
        </w:rPr>
        <w:t>一、词语定义及合同文件</w:t>
      </w:r>
    </w:p>
    <w:p w14:paraId="13E2E90B">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１、词语定义</w:t>
      </w:r>
    </w:p>
    <w:p w14:paraId="35A28E6E">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下列词语除专用条款另有约定外，应具有本条所赋予的定义：</w:t>
      </w:r>
    </w:p>
    <w:p w14:paraId="4C2B2A10">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1.1通用条款：是根据法律、行政法规规定及建设工程施工的需要订立，通用于建设工程施工的条款。</w:t>
      </w:r>
    </w:p>
    <w:p w14:paraId="3D668BC3">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1.2专用条款：是发包人与承包人根据法律、行政法规规定，结合具体工程实际，经协商达成一致意见的条款，是对通用条款的具体化、补充或修改。</w:t>
      </w:r>
    </w:p>
    <w:p w14:paraId="56CC55C1">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1.3发包人：指在协议书中约定，具有工程发包主体资格和支付工程价款能力的当事人以及取得该当事人资格的合法继承人。</w:t>
      </w:r>
    </w:p>
    <w:p w14:paraId="1C1CEE59">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1.4承包人：指在协议书中约定，被发包人接受的具有工程施工承包主体资格的当事人以及取得该当事人资格的合法继承人。</w:t>
      </w:r>
    </w:p>
    <w:p w14:paraId="5FA9DE53">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1.5项目经理：指承包人在专用条款中指定的具有执业资格的负责施工管理和合同履行的代表。</w:t>
      </w:r>
    </w:p>
    <w:p w14:paraId="3E2FD343">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1.6设计单位：指发包人委托的负责本工程设计并取得相应工程设计资质等级证书的单位。</w:t>
      </w:r>
    </w:p>
    <w:p w14:paraId="2A889EE2">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1.7监理单位：指发包人委托的负责本工程监理并取得相应工程监理资质等级证书的单位。</w:t>
      </w:r>
    </w:p>
    <w:p w14:paraId="33072F99">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1.8工程师：指本工程监理单位委派的总监理工程师或发包人指定的履行本合同的代表，其具体身份和职权由发包人承包人在专用条款中约定。</w:t>
      </w:r>
    </w:p>
    <w:p w14:paraId="053C4DED">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1.9工程造价管理部门：指国务院有关部门、县级以上人民政府建设行政主管部门或其委托的工程造价管理机构。</w:t>
      </w:r>
    </w:p>
    <w:p w14:paraId="0337BB35">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1.10工程：指发包人承包人在协议书中约定的承包范围内的工程。</w:t>
      </w:r>
    </w:p>
    <w:p w14:paraId="17C0F168">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1.11工程量清单：表现拟建工程的分部分项工程项目、措施项目、其他项目名称和相应数量的明细清单。</w:t>
      </w:r>
    </w:p>
    <w:p w14:paraId="43A2A9D9">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1.12综合单价：完成工程量清单中一个规定计量单位项目所需的人工费、材料费、机械使用费、管理费和利润，并考虑风险因素。</w:t>
      </w:r>
    </w:p>
    <w:p w14:paraId="29D7CCE3">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1.13合同价款：指发包人承包人在协议书中约定，发包人用以支付承包人按照合同约定完成承包范围内全部工程并承担质量保修责任的款项。</w:t>
      </w:r>
    </w:p>
    <w:p w14:paraId="043F9563">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1.14预留金：指发包人为可能发生的工程量变更而预留的款额。</w:t>
      </w:r>
    </w:p>
    <w:p w14:paraId="3B945D3A">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1.15工程分包和材料购置费：指发包人将按有关规定准予分包的工作、指定分包人或指定材料供应商供应材料而预留的款额。</w:t>
      </w:r>
    </w:p>
    <w:p w14:paraId="321E9B35">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1.16总承包服务费：为配合协调发包人进行的工程分包和材料采购所需的费用。</w:t>
      </w:r>
    </w:p>
    <w:p w14:paraId="6A7207E3">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1.17零星工作项目费：完成发包人提出的工程量暂估的零星工作所需的费用。</w:t>
      </w:r>
    </w:p>
    <w:p w14:paraId="6D43A2AD">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1.18追加合同价款：指在合同履行中发生需要增加合同价款的情况，经发包人确认后按计算合同价款的方法增加的合同价款。</w:t>
      </w:r>
    </w:p>
    <w:p w14:paraId="4E112A8A">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1.19费用：指不包含在合同价款之内的应当由发包人或承包人承担的经济支出。</w:t>
      </w:r>
    </w:p>
    <w:p w14:paraId="015C7555">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1.20工期：指发包人承包人在协议书中约定，按总日历天数（包括法定节假日）计算的承包天数。</w:t>
      </w:r>
    </w:p>
    <w:p w14:paraId="6EFB9A2A">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1.21开工日期：指发包人承包人在协议书中约定，承包人开始施工的绝对或相对的日期。</w:t>
      </w:r>
    </w:p>
    <w:p w14:paraId="3B410131">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1.22竣工日期：指发包人承包人在协议书中约定，承包人完成承包范围内工程的绝对或相对的日期。</w:t>
      </w:r>
    </w:p>
    <w:p w14:paraId="607BCDCE">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1.23图纸：指由发包人提供或由承包人提供并经发包人批准，满足承包人施工需要的所有图纸（包括配套说明和有关资料）。</w:t>
      </w:r>
    </w:p>
    <w:p w14:paraId="3160DD70">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1.24施工场地：指由发包人提供的用于工程施工的场所以及发包人在图纸中具体指定的供施工使用的任何其他场所。</w:t>
      </w:r>
    </w:p>
    <w:p w14:paraId="3D4BAA1D">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1.25书面形式：指合同书、信件和数据电文（包括电报、电传、传真、电子数据交换和电子邮件）等可以有形地表现所载内容的形式。</w:t>
      </w:r>
    </w:p>
    <w:p w14:paraId="14C104F8">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1.26违约责任：指合同一方不履行合同义务或履行合同义务不符合约定所应承担的责任。</w:t>
      </w:r>
    </w:p>
    <w:p w14:paraId="08EB843B">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1.27索赔：指在合同履行过程中，对于并非自己的过错，而是应由对方承担责任的情况造成的实际损失，向对方提出经济补偿和（或）工期顺延的要求。</w:t>
      </w:r>
    </w:p>
    <w:p w14:paraId="33F66F74">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1.28不可抗力：指不能预见、不能避免并不能克服的客观情况。</w:t>
      </w:r>
    </w:p>
    <w:p w14:paraId="2B4C681A">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1.29小时或天：本合同中规定按小时计算时间的，从事件有效开始时计算（不扣除休息时间）；规定按天计算时间的，开始当天不计入，从次日开始计算。时限的最后一天是休息日或者其他法定节假日的，以节假日次日为时限的最后一天，但竣工日期除外。时限的最后一天的截止时间为当日24时。</w:t>
      </w:r>
    </w:p>
    <w:p w14:paraId="4EF2676C">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2、合同文件及解释顺序</w:t>
      </w:r>
    </w:p>
    <w:p w14:paraId="5456F847">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2.1合同文件应能相互解释，互为说明。除专用条款另有约定外，组成本合同的文件及优先解释顺序如下：</w:t>
      </w:r>
    </w:p>
    <w:p w14:paraId="48FC5B43">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1、本合同协议书</w:t>
      </w:r>
    </w:p>
    <w:p w14:paraId="492D51EC">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2、本合同专用条款</w:t>
      </w:r>
    </w:p>
    <w:p w14:paraId="1D34ED5A">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3、本合同通用条款</w:t>
      </w:r>
    </w:p>
    <w:p w14:paraId="2452D526">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4、成交通知书</w:t>
      </w:r>
    </w:p>
    <w:p w14:paraId="009E546F">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5、响应文件、工程报价单或预算书及其附件</w:t>
      </w:r>
    </w:p>
    <w:p w14:paraId="444288C8">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6、磋商文件、答疑纪要及工程量清单　</w:t>
      </w:r>
    </w:p>
    <w:p w14:paraId="3D79CDEF">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7、图纸</w:t>
      </w:r>
    </w:p>
    <w:p w14:paraId="6B2CDCDB">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8、标准、规范及有关技术文件</w:t>
      </w:r>
    </w:p>
    <w:p w14:paraId="4DE1C0A1">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双方为履行本合同的有关洽商、变更等书面协议、文件，视为本合同的组成部分。</w:t>
      </w:r>
    </w:p>
    <w:p w14:paraId="411E7C3B">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2.2当合同文件内容含糊不清或不相一致时，在不影响工程正常进行的情况下，由发包人承包人协商解决。双方也可以提请负责监理的工程师做出解释。双方协商不成或不同意负责监理的工程师的解释时，按本通用条款第41条关于争议的约定处理。</w:t>
      </w:r>
    </w:p>
    <w:p w14:paraId="150270B2">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3、语言文字和适用法律、标准及规范</w:t>
      </w:r>
    </w:p>
    <w:p w14:paraId="1222A626">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3.1语言文字</w:t>
      </w:r>
    </w:p>
    <w:p w14:paraId="29B245CC">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本合同文件使用汉语语言文字书写、解释和说明。如专用条款约定使用两种以上（含两种）语言文字时，汉语应为解释和说明本合同的标准语言文字。</w:t>
      </w:r>
    </w:p>
    <w:p w14:paraId="14639535">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3.2适用法律和法规</w:t>
      </w:r>
    </w:p>
    <w:p w14:paraId="2D702216">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本合同文件适用国家的法律和行政法规。需要明示的法律、行政法规，由双方在专用条款中约定。</w:t>
      </w:r>
    </w:p>
    <w:p w14:paraId="2EC10968">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3.3适用标准、规范</w:t>
      </w:r>
    </w:p>
    <w:p w14:paraId="38EA5777">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双方在专用条款内约定适用国家标准、规范的名称；没有国家标准、规范但有行业标准、规范的，约定适用行业标准、规范的名称；没有国家和行业标准、规范的，约定适用工程所在地地方标准、规范的名称。发包人应按专用条款约定的时间向承包人提供一式两份约定的标准、规范。</w:t>
      </w:r>
    </w:p>
    <w:p w14:paraId="672616A1">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国内没有相应标准、规范的，由发包人按专用条款约定的时间向承包人提出施工技术要求，承包人按约定的时间和要求提出施工工艺，经发包人认可后执行。发包人要求使用国外标准、规范的，应负责提供中文译本。</w:t>
      </w:r>
    </w:p>
    <w:p w14:paraId="2BBAF9A9">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本条所发生的购买、翻译标准、规范或制定施工工艺的费用，由发包人承担。</w:t>
      </w:r>
    </w:p>
    <w:p w14:paraId="2167F176">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４、图纸</w:t>
      </w:r>
    </w:p>
    <w:p w14:paraId="6F08B4F7">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4.1发包人应按专用条款约定的日期和套数，向承包人提供图纸。承包人需要增加图纸套数的，发包人应代为复制，复制费用由承包人承担。发包人对工程有保密要求的，应在专用条款中提出保密要求，保密措施费用由发包人承担，承包人在约定保密期限内履行保密义务。</w:t>
      </w:r>
    </w:p>
    <w:p w14:paraId="6C50AA1D">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4.2承包人未经发包人同意，不得将本工程图纸转给第三人。工程质量保修期满后，除承包人存档需要的图纸外，应将全部图纸退还给发包人。</w:t>
      </w:r>
    </w:p>
    <w:p w14:paraId="3584A945">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4.3承包人应在施工现场保留一套完整图纸，供工程师及有关人员进行工程检查时使用。</w:t>
      </w:r>
    </w:p>
    <w:p w14:paraId="73437490">
      <w:pPr>
        <w:pageBreakBefore w:val="0"/>
        <w:kinsoku/>
        <w:wordWrap/>
        <w:overflowPunct/>
        <w:topLinePunct w:val="0"/>
        <w:autoSpaceDE/>
        <w:autoSpaceDN/>
        <w:bidi w:val="0"/>
        <w:spacing w:before="120" w:beforeLines="50" w:after="120" w:afterLines="50" w:line="460" w:lineRule="exact"/>
        <w:textAlignment w:val="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二、双方一般权利和义务</w:t>
      </w:r>
    </w:p>
    <w:p w14:paraId="7AC2E250">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5、工程师</w:t>
      </w:r>
    </w:p>
    <w:p w14:paraId="398FB9BA">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5.1实行工程监理的，发包人应在实施监理前将委托的监理单位名称、监理内容及监理权限以书面形式通知承包人。</w:t>
      </w:r>
    </w:p>
    <w:p w14:paraId="1512EECB">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5.2监理单位委派的总监理工程师在本合同中称工程师，其姓名、职务、职权由发包人承包人在专用条款内写明。工程师按合同约定行使职权，发包人在专用条款内要求工程师在行使某些职权前需要征得发包人批准的，工程师应征得发包人批准。</w:t>
      </w:r>
    </w:p>
    <w:p w14:paraId="4EF18F12">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5.3发包人派驻施工场地履行合同的代表在本合同中也称工程师，其姓名、职务、职权由发包人在专用条款内写明，但职权不得与监理单位委派的总监理工程师职权相互交叉。双方职权发生交叉或不明确时，由发包人予以明确，并以书面形式通知承包人。</w:t>
      </w:r>
    </w:p>
    <w:p w14:paraId="1C876AB4">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5.4合同履行中，发生影响发包人承包人双方权利或义务的事件时，负责监理的工程师应依据合同在其职权范围内客观公正地进行处理。一方对工程师的处理有异议时，按本通用条款第41条关于争议的约定处理。</w:t>
      </w:r>
    </w:p>
    <w:p w14:paraId="67A33B38">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5.5除合同内有明确约定或经发包人同意外，负责监理的工程师无权解除本合同约定的承包人的任何权利与义务。</w:t>
      </w:r>
    </w:p>
    <w:p w14:paraId="0EC2C55D">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5.6不实行工程监理的，本合同中工程师专指发包人派驻施工场地履行合同的代表，其具体职权由发包人在专用条款内写明。</w:t>
      </w:r>
    </w:p>
    <w:p w14:paraId="372AC8DD">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6、工程师的委派和指令</w:t>
      </w:r>
    </w:p>
    <w:p w14:paraId="7E21B822">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6.1工程师可委派工程师代表，行使合同约定的自己的职权，并可在认为必要时撤回委派。委派和撤回均应提前7天以书面形式通知承包人，负责监理的工程师还应将委派和撤回通知发包人。委派书和撤回通知作为本合同附件。</w:t>
      </w:r>
    </w:p>
    <w:p w14:paraId="18238F8D">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工程师代表在工程师授权范围内向承包人发出的任何书面形式的函件，与工程师发出的函件具有同等效力。承包人对工程师代表向其发出的任何书面形式的函件有疑问时，可将此函件提交工程师，工程师应进行确认。工程师代表发出指令有失误时，工程师应进行纠正。</w:t>
      </w:r>
    </w:p>
    <w:p w14:paraId="09DD30A9">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除工程师或工程师代表外，发包人派驻工地的其他人员均无权向承包人发出任何指令。</w:t>
      </w:r>
    </w:p>
    <w:p w14:paraId="466E35F8">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6.2工程师的指令、通知由其本人签字后，以书面形式交给项目经理，项目经理在回执上签署姓名和收到时间后生效。确有必要时，工程师可发出口头指令，并在48小时内给予书面确认，承包人对工程师的指令应予执行。工程师不能及时给予书面确认的，承包人应于工程师发出口头指令后7天内提出书面确认要求。工程师在承包人提出确认要求后48小时内不予答复的，视为口头指令已被确认。</w:t>
      </w:r>
    </w:p>
    <w:p w14:paraId="70C19DDC">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承包人认为工程师指令不合理，应在收到指令后24小时内向工程师提出修改指令的书面报告，工程师在收到承包人报告后24小时内作出修改指令或继续执行原指令的决定，并以书面形式通知承包人。紧急情况下，工程师要求承包人立即执行的指令或承包人虽有异议，但工程师决定仍继续执行的指令，承包人应予执行。因指令错误发生的追加合同价款和给承包人造成的损失由发包人承担，延误的工期相应顺延。</w:t>
      </w:r>
    </w:p>
    <w:p w14:paraId="5ED1EB3F">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本款规定同样适用于由工程师代表发出的指令、通知。</w:t>
      </w:r>
    </w:p>
    <w:p w14:paraId="35CD9CEC">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6.3工程师应按合同约定，及时向承包人提供所需指令、批准并履行约定的其他义务。由于工程师未能按合同约定履行义务造成工期延误，发包人应承担延误造成的追加合同价款，并赔偿承包人有关损失，顺延延误的工期。</w:t>
      </w:r>
    </w:p>
    <w:p w14:paraId="5F94783E">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6.4如需更换工程师，发包人应至少提前7天以书面形式通知承包人，后任继续行使合同文件约定的前任的职权，履行前任的义务。</w:t>
      </w:r>
    </w:p>
    <w:p w14:paraId="4748AAF4">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7、项目经理</w:t>
      </w:r>
    </w:p>
    <w:p w14:paraId="12DF08B7">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7.1项目经理的姓名、职务在专用条款内写明。</w:t>
      </w:r>
    </w:p>
    <w:p w14:paraId="7AF9DB37">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7.2承包人依据合同发出的通知，以书面形式由项目经理签字后送交工程师，工程师在回执上签署姓名和收到时间后生效。</w:t>
      </w:r>
    </w:p>
    <w:p w14:paraId="05803BEE">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7.3项目经理按发包人认可的施工组织设计（施工方案）和工程师依据合同发出的指令组织施工。在情况紧急且无法与工程师联系时，项目经理应当采取保证人员生命和工程、财产安全的紧急措施，并在采取措施后48小时内向工程师送交报告。责任在发包人或第三人，由发包人承担由此发生的追加合同价款，相应顺延工期；责任在承包人，由承包人承担费用，不顺延工期。</w:t>
      </w:r>
    </w:p>
    <w:p w14:paraId="214A9516">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7.4承包人如需要更换项目经理，应至少提前7天以书面形式通知发包人，并征得发包人同意。后任继续行使合同文件约定的前任的职权，履行前任的义务。</w:t>
      </w:r>
    </w:p>
    <w:p w14:paraId="1DB2E080">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7.5发包人可以与承包人协商，建议更换其认为不称职的项目经理。</w:t>
      </w:r>
    </w:p>
    <w:p w14:paraId="33D761A1">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8、发包人工作</w:t>
      </w:r>
    </w:p>
    <w:p w14:paraId="2DA90FA1">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8.1发包人按专用条款约定的内容和时间完成以下工作：</w:t>
      </w:r>
    </w:p>
    <w:p w14:paraId="6FA6FD96">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（1）办理土地征用、拆迁补偿、平整施工场地等工作，使施工场地具备施工条件，在开工后继续负责解决以上事项遗留问题；</w:t>
      </w:r>
    </w:p>
    <w:p w14:paraId="37F81619">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（2）将施工所需水、电、电讯线路从施工场地外部接至专用条款约定地点，保证施工期间的需要；</w:t>
      </w:r>
    </w:p>
    <w:p w14:paraId="1AD9017C">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（3）开通施工场地与城乡公共道路的通道，以及专用条款约定的施工场地内的主要道路，满足施工运输的需要，保证施工期间的畅通；</w:t>
      </w:r>
    </w:p>
    <w:p w14:paraId="561B7617">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（4）向承包人提供施工场地的工程地质和地下管线资料，对资料的真实准确性负责；</w:t>
      </w:r>
    </w:p>
    <w:p w14:paraId="0E1345BE">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（5）办理施工许可证及其它施工所需批件和临时用地、停水、停电、中断道路交通、爆破作业等的证件申请批准手续（证明承包人自身资质的证件除外）；</w:t>
      </w:r>
    </w:p>
    <w:p w14:paraId="064C86D9">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（6）确定水准点与坐标控制点，以书面形式交给承包人，进行现场交验；</w:t>
      </w:r>
    </w:p>
    <w:p w14:paraId="74DE03E4">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（7）组织承包人和设计单位进行图纸会审和设计交底；</w:t>
      </w:r>
    </w:p>
    <w:p w14:paraId="4144EEB0">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（8）协调处理施工场地周围地下管线和邻近建筑物、构筑物（包括文物保护建筑）、古树名木的保护工作、承担有关费用；</w:t>
      </w:r>
    </w:p>
    <w:p w14:paraId="7F2533D4">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（9）发包人应做的其他工作，双方在专用条款内约定。</w:t>
      </w:r>
    </w:p>
    <w:p w14:paraId="4D387B5D">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8.2发包人可以将8.1款部分工作委托承包人办理，双方在专用条款内约定，其费用由发包人承担。</w:t>
      </w:r>
    </w:p>
    <w:p w14:paraId="5D6A9C38">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8.3发包人未能履行8.1款各项义务，导致工期延误或给承包人造成损失的，发包人赔偿承包人有关损失，顺延延误的工期。</w:t>
      </w:r>
    </w:p>
    <w:p w14:paraId="14A77872">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9、承包人工作</w:t>
      </w:r>
    </w:p>
    <w:p w14:paraId="5E853CC6">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9.1承包人按专用条款约定的内容和时间完成以下工作：</w:t>
      </w:r>
    </w:p>
    <w:p w14:paraId="360AF4FC">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（1）根据发包人委托，在其设计资质等级和业务允许的范围内，完成施工图设计或与工程配套的设计，经工程师确认后使用，发包人承担由此发生的费用；</w:t>
      </w:r>
    </w:p>
    <w:p w14:paraId="6B62577C">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（2）向工程师提供年、季、月度工程进度计划及相应进度统计报表；</w:t>
      </w:r>
    </w:p>
    <w:p w14:paraId="14187295">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（3）根据工程需要，提供和维修非夜间施工使用的照明、围栏设施；负责施工现场安全保卫；</w:t>
      </w:r>
    </w:p>
    <w:p w14:paraId="6D4BC235">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（4）按专用条款约定的数量和要求，向发包人提供施工场地办公和生活的房屋及设施，发包人承担由此发生的费用；</w:t>
      </w:r>
    </w:p>
    <w:p w14:paraId="6EEDC381">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（5）遵守政府有关主管部门对施工场地安全防护、文明施工、环境保护以及场地交通等的管理规定，按规定办理有关手续，并以书面形式通知发包人。</w:t>
      </w:r>
    </w:p>
    <w:p w14:paraId="344B5E85">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6）已竣工工程未交付发包人之前，承包人按专用条款约定负责已完工程的保护工作，保护期间发生损坏，承包人自费予以修复；发包人要求承包人采取特殊措施保护的工程部位和相应的追加合同价款，双方在专用条款内约定；</w:t>
      </w:r>
    </w:p>
    <w:p w14:paraId="5916E27C">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（7）按专用条款约定做好施工场地地下管线和邻近建筑物、构筑物（包括文物保护建筑）、古树名木的保护工作；</w:t>
      </w:r>
    </w:p>
    <w:p w14:paraId="4BBF0CD5">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（8）保证施工场地清洁符合环境卫生管理的有关规定，交工前清理现场达到专用条款约定的要求，承担因自身原因违反有关规定造成的损失和罚款；</w:t>
      </w:r>
    </w:p>
    <w:p w14:paraId="2D18BE3A">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（9）承包人应做的其他工作，双方在专用条款内约定。</w:t>
      </w:r>
    </w:p>
    <w:p w14:paraId="678B7963">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9.2承包人未能履行9.1款各项义务，造成发包人损失的，承包人赔偿发包人有关损失。</w:t>
      </w:r>
    </w:p>
    <w:p w14:paraId="452EAE82">
      <w:pPr>
        <w:pageBreakBefore w:val="0"/>
        <w:kinsoku/>
        <w:wordWrap/>
        <w:overflowPunct/>
        <w:topLinePunct w:val="0"/>
        <w:autoSpaceDE/>
        <w:autoSpaceDN/>
        <w:bidi w:val="0"/>
        <w:spacing w:before="120" w:beforeLines="50" w:after="120" w:afterLines="50" w:line="460" w:lineRule="exact"/>
        <w:textAlignment w:val="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三、施工组织设计和工期</w:t>
      </w:r>
    </w:p>
    <w:p w14:paraId="53C0E860">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10、进度计划</w:t>
      </w:r>
    </w:p>
    <w:p w14:paraId="18EF6382">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10.1承包人应按专用条款约定的日期，将施工组织设计和工程进度计划提交工程师，工程师按专用条款约定的时间予以确认或提出修改意见，逾期不确认也不提出书面意见的，视为同意。</w:t>
      </w:r>
    </w:p>
    <w:p w14:paraId="40E02C43">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10.2群体工程中单位工程分期进行施工的，承包人应按照发包人提供图纸及有关资料的时间，按单位工程编制进度计划，其具体内容双方在专用条款中约定。</w:t>
      </w:r>
    </w:p>
    <w:p w14:paraId="6EC41621">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10.3承包人必须按工程师确认的进度计划组织施工，接受工程师对进度的检查、监督。工程实际进度与经确认的进度计划不符时，承包人应按工程师的要求提出改进措施，经工程师确认后执行。因承包人的原因导致实际进度与进度计划不符，承包人无权就改进措施提出追加合同价款。</w:t>
      </w:r>
    </w:p>
    <w:p w14:paraId="0E716021">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11、开工及延期开工</w:t>
      </w:r>
    </w:p>
    <w:p w14:paraId="53680143">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11.1承包人应当按照协议书约定的开工日期开工。承包人不能按时开工，应当不迟于协议书约定的开工日期前7天，以书面形式向工程师提出延期开工的理由和要求。工程师应当在接到延期开工申请后的48小时内以书面形式答复承包人。工程师在接到延期开工申请后48小时内不答复，视为同意承包人要求，工期相应顺延。工程师不同意延期要求或承包人未在规定时间内提出延期开工要求，工期不予顺延。</w:t>
      </w:r>
    </w:p>
    <w:p w14:paraId="2724C0E8">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11.2因发包人原因不能按照协议书约定的开工日期开工，工程师应以书面形式通知承包人，推迟开工日期。发包人赔偿承包人因延期开工造成的损失，并相应顺延工期。</w:t>
      </w:r>
    </w:p>
    <w:p w14:paraId="06E4CC8A">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12、暂停施工</w:t>
      </w:r>
    </w:p>
    <w:p w14:paraId="3702F341">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工程师认为确有必要暂停施工时，应当以书面形式要求承包人暂停施工，并在提出要求后48小时内提出书面处理意见。承包人应当按工程师要求停止施工，并妥善保护已完工程。承包人实施工程师作出的处理意见后，可以书面形式提出复工要求，工程师应当在48小时内给予答复。工程师未能在规定时间内提出处理意见，或收到承包人复工要求后48小时内未予答复，承包人可自行复工。因发包人原因造成停工的，由发包人承担所发生的追加合同价款，赔偿承包人由此造成的损失，相应顺延工期；因承包人原因造成停工的，由承包人承担发生的费用，工期不予顺延。</w:t>
      </w:r>
    </w:p>
    <w:p w14:paraId="7F4EB117">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13、工期延误</w:t>
      </w:r>
    </w:p>
    <w:p w14:paraId="5520D674">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13.1因以下原因造成工期延误，经工程师确认，工期相应顺延：</w:t>
      </w:r>
    </w:p>
    <w:p w14:paraId="501D8E64">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（1）发包人未能按专用条款的约定提供图纸及开工条件；</w:t>
      </w:r>
    </w:p>
    <w:p w14:paraId="26834571">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（2）发包人未能按约定日期支付工程预付款、进度款，致使施工不能正常进行；</w:t>
      </w:r>
    </w:p>
    <w:p w14:paraId="14E80E81">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（3）工程师未按合同约定提供所需指令、批准等，致使施工不能正常进行；</w:t>
      </w:r>
    </w:p>
    <w:p w14:paraId="740924B1">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（4）设计变更和工程量增加；</w:t>
      </w:r>
    </w:p>
    <w:p w14:paraId="46DF78A8">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（5）一周内非承包人原因停水、停电、停气造成停工累计超过8小时；</w:t>
      </w:r>
    </w:p>
    <w:p w14:paraId="0A2226C9">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（6）不可抗力；</w:t>
      </w:r>
    </w:p>
    <w:p w14:paraId="72FB3130">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（7）专用条款中约定或工程师同意工期顺延的其他情况。</w:t>
      </w:r>
    </w:p>
    <w:p w14:paraId="216DC245">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13.2承包人在13.1款情况发生后14天内，就延误的工期以书面形式向工程师提出报告。工程师在收到报告后14天内予以确认，逾期不予确认也不提出修改意见，视为同意顺延工期。</w:t>
      </w:r>
    </w:p>
    <w:p w14:paraId="3A3EE97B">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14、工程竣工</w:t>
      </w:r>
    </w:p>
    <w:p w14:paraId="6081583D">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14.1承包人必须按照协议书约定的竣工日期或工程师同意顺延的工期竣工。</w:t>
      </w:r>
    </w:p>
    <w:p w14:paraId="2C4A86AE">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14.2因承包人原因不能按照协议书约定的竣工日期或工程师同意顺延的工期竣工的，承包人承担违约责任。</w:t>
      </w:r>
    </w:p>
    <w:p w14:paraId="274091C1">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14.3施工中发包人如需提前竣工，双方协商一致后应签订提前竣工协议，作为合同文件组成部分。提前竣工协议应包括承包人为保证工程质量和安全采取的措施、发包人为提前竣工提供的条件以及提前竣工所需的追加合同价款等内容。</w:t>
      </w:r>
    </w:p>
    <w:p w14:paraId="4C3CAFE5">
      <w:pPr>
        <w:pageBreakBefore w:val="0"/>
        <w:kinsoku/>
        <w:wordWrap/>
        <w:overflowPunct/>
        <w:topLinePunct w:val="0"/>
        <w:autoSpaceDE/>
        <w:autoSpaceDN/>
        <w:bidi w:val="0"/>
        <w:spacing w:before="120" w:beforeLines="50" w:after="120" w:afterLines="50" w:line="460" w:lineRule="exact"/>
        <w:textAlignment w:val="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四、质量与检验</w:t>
      </w:r>
    </w:p>
    <w:p w14:paraId="57752D48">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15、工程质量</w:t>
      </w:r>
    </w:p>
    <w:p w14:paraId="587EA160">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15.1工程质量应当达到协议书约定的质量标准，质量标准的评定以国家或行业的质量检验评定标准为依据。因承包人原因工程质量达不到约定的质量标准，承包人承担违约责任。</w:t>
      </w:r>
    </w:p>
    <w:p w14:paraId="573EE995">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15.2双方对工程质量有争议，由双方同意的工程质量检测机构鉴定，所需费用及因此造成的损失，由责任方承担。双方均有责任，由双方根据其责任分别承担。</w:t>
      </w:r>
    </w:p>
    <w:p w14:paraId="2D9EA473">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16、检查和返工</w:t>
      </w:r>
    </w:p>
    <w:p w14:paraId="77F2FFD4">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16.1承包人应认真按照标准、规范和设计图纸要求以及工程师依据合同发出的指令施工，随时接受工程师的检查检验，为检查检验提供便利条件。</w:t>
      </w:r>
    </w:p>
    <w:p w14:paraId="5F38FA06">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16.2工程质量达不到约定标准的部分，工程师一经发现，应要求承包人拆除和重新施工，承包人应按工程师的要求拆除和重新施工，直到符合约定标准。因承包人原因达不到约定标准，由承包人承担拆除和重新施工的费用，工期不予顺延。</w:t>
      </w:r>
    </w:p>
    <w:p w14:paraId="0563C197">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16.3工程师的检查检验不应影响施工正常进行。如影响施工正常进行，检查检验不合格时，影响正常施工的费用由承包人承担。除此之外影响正常施工的追加合同价款由发包人承担，相应顺延工期。</w:t>
      </w:r>
    </w:p>
    <w:p w14:paraId="6CD90316">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16.4因工程师指令失误或其他非承包人原因发生的追加合同价款，由发包人承担。</w:t>
      </w:r>
    </w:p>
    <w:p w14:paraId="08DA007C">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17、隐蔽工程和中间验收</w:t>
      </w:r>
    </w:p>
    <w:p w14:paraId="1549FF7E">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17.1工程具备隐蔽条件或达到专用条款约定的中间验收部位，承包人进行自检，并在隐蔽或中间验收前48小时以书面形式通知工程师验收。通知包括隐蔽和中间验收的内容、验收时间和地点。承包人准备验收记录，验收合格，工程师在验收记录上签字后，承包人可进行隐蔽和继续施工。验收不合格，承包人在工程师限定的时间内修改后重新验收。</w:t>
      </w:r>
    </w:p>
    <w:p w14:paraId="1052A535">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17.2工程师不能按时进行验收，应在验收前24小时以书面形式向承包人提出延期要求，延期不能超过48小时。工程师未能按以上时间提出延期要求，不进行验收，承包人可自行组织验收，工程师应承认验收记录。</w:t>
      </w:r>
    </w:p>
    <w:p w14:paraId="609148F9">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17.3经工程师验收，工程质量符合标准、规范和设计图纸等要求，验收24小时后，工程师不在验收记录上签字，视为工程师已经认可验收记录，承包人可进行隐蔽或继续施工。</w:t>
      </w:r>
    </w:p>
    <w:p w14:paraId="1871C688">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18、重新检验</w:t>
      </w:r>
    </w:p>
    <w:p w14:paraId="2AF35CE5">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无论工程师是否进行验收，当其要求对已经隐蔽的工程重新检验时，承包人应按要求进行剥离或开孔，并在检验后重新覆盖或修复。检验合格，发包人承担由此发生的全部追加合同价款，赔偿承包人损失，并相应顺延工期。检验不合格，承包人承担发生的全部费用，工期不予顺延。</w:t>
      </w:r>
    </w:p>
    <w:p w14:paraId="216D4A69">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19、工程试车</w:t>
      </w:r>
    </w:p>
    <w:p w14:paraId="46596D59">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19.1双方约定需要试车的，试车内容应与承包人承包的安装范围相一致。</w:t>
      </w:r>
    </w:p>
    <w:p w14:paraId="2DF8729A">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19.2设备安装工程具备单机无负荷试车条件，承包人组织试车，并在试车前48小时以书面形式通知工程师。通知包括试车内容、时间、地点。承包人准备试车记录，发包人根据承包人要求为试车提供必要条件。试车合格，工程师在试车记录上签字。</w:t>
      </w:r>
    </w:p>
    <w:p w14:paraId="642A6900">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19.3工程师不能按时参加试车，须在开始试车前24小时以书面形式向承包人提出延期要求，延期不能超过48小时。工程师未能按以上时间提出延期要求，不参加试车，应承认试车记录。</w:t>
      </w:r>
    </w:p>
    <w:p w14:paraId="09A17D6D">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19.4设备安装工程具备无负荷联动试车条件，发包人组织试车，并在试车前48小时以书面形式通知承包人。通知包括试车内容、时间、地点和对承包人的要求，承包人按要求做好准备工作。试车合格，双方在试车记录上签字。</w:t>
      </w:r>
    </w:p>
    <w:p w14:paraId="13B20087">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19.5双方责任</w:t>
      </w:r>
    </w:p>
    <w:p w14:paraId="30847A6E">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（1）由于设计原因试车达不到验收要求，发包人应要求设计单位修改设计，承包人按修改后的设计重新安装。发包人承担修改设计、拆除及重新安装的全部费用和追加合同价款，工期相应顺延。</w:t>
      </w:r>
    </w:p>
    <w:p w14:paraId="37D7F38C">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由于设备制造原因试车达不到验收要求，由该设备采购一方负责重新购置或修理，承包人负责拆除和重新安装。设备由承包人采购的，由承包人承担修理或重新购置、拆除及重新安装的费用，工期不予顺延；设备由发包人采购的或由发包人认质认价，承包人采购的，发包人承担上述各项追加合同价款，工期相应顺延。</w:t>
      </w:r>
    </w:p>
    <w:p w14:paraId="1C85BFCB">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（3）由于承包人施工原因试车达不到验收要求，承包人按工程师要求重新安装和试车，并承担重新安装和试车的费用，工期不予顺延。</w:t>
      </w:r>
    </w:p>
    <w:p w14:paraId="78A2D597">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（4）试车费用除已包括在合同价款之内或专用条款另有约定外，均由发包人承担。</w:t>
      </w:r>
    </w:p>
    <w:p w14:paraId="19C0767E">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（5）工程师在试车合格后不在试车记录上签字，试车结束24小时后，视为工程师已经认可试车记录，承包人可继续施工或办理竣工手续。</w:t>
      </w:r>
    </w:p>
    <w:p w14:paraId="3831F5EC">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19.6投料试车应在工程竣工验收后由发包人负责，如发包人要求在工程竣工验收前进行或需要承包人配合时，应征得承包人同意，另行签订补充协议。</w:t>
      </w:r>
    </w:p>
    <w:p w14:paraId="6539F95E">
      <w:pPr>
        <w:pageBreakBefore w:val="0"/>
        <w:kinsoku/>
        <w:wordWrap/>
        <w:overflowPunct/>
        <w:topLinePunct w:val="0"/>
        <w:autoSpaceDE/>
        <w:autoSpaceDN/>
        <w:bidi w:val="0"/>
        <w:spacing w:before="120" w:beforeLines="50" w:after="120" w:afterLines="50" w:line="460" w:lineRule="exact"/>
        <w:textAlignment w:val="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五、安全防护、文明施工</w:t>
      </w:r>
    </w:p>
    <w:p w14:paraId="3FE39FC5">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20、发包人责任</w:t>
      </w:r>
    </w:p>
    <w:p w14:paraId="2B53DB8D">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20．1　发包人应遵守安全防护和文明施工的规定，督促承包人落实安全防护、文明施工措施，并按规定支付安全防护、文明施工措施费。</w:t>
      </w:r>
    </w:p>
    <w:p w14:paraId="353EF37A">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20．2　发包人应对其在施工现场人员进行安全防护、文明施工教育，并对他们的安全负责。</w:t>
      </w:r>
    </w:p>
    <w:p w14:paraId="25D22974">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20．3　在合同工程实施、完成及保修期间，发包人不得要求承包人违反安全生产、文明施工规定和强制性标准规范进行施工；不得明示或暗示承包人购买、租赁、使用不符合安全施工要求的安全防护用具、机械设备、施工机具及配件、消防设施和器材。</w:t>
      </w:r>
    </w:p>
    <w:p w14:paraId="551F7A02">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20．4　发包人违反上述规定或由于发包人原因导致安全事故的，由发包人承担相应责任和费用，顺延延误的工期。</w:t>
      </w:r>
    </w:p>
    <w:p w14:paraId="204FC6E2">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21、承包人责任</w:t>
      </w:r>
    </w:p>
    <w:p w14:paraId="2B0B2B0F">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21.1　承包人应遵守安全防护和文明施工的规定，建立健全安全防护和文明施工的制度，对其在施工现场人员进行安全防护、文明施工教育，并对他们的安全负责。</w:t>
      </w:r>
    </w:p>
    <w:p w14:paraId="2F506B44">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21.2　完善安全防护和文明施工条件，严格按照安全防护和文明施工的规定组织施工，采取必要的安全防护措施，消除事故隐患，自觉接受和配合依法实施的监督检查。</w:t>
      </w:r>
    </w:p>
    <w:p w14:paraId="758D5BF4">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21.3　在合同工程实施、完成及保修期间，承包人应做好施工现场的安全警示标志、道路及场地的硬化与必要的绿化、安全通道的合理布置、材料与设备的存放与保管、消防设施的齐全有效、现场垃圾的存放与清运、施工现场的照明与防护以及政府有关部门关于安全防护、文明施工规定的其它工作等。</w:t>
      </w:r>
    </w:p>
    <w:p w14:paraId="4C41FE1F">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21.4　应按规定的范围使用安全文明措施费，保证专款专用，不得挪作它用。</w:t>
      </w:r>
    </w:p>
    <w:p w14:paraId="3F3F3105">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21.5　承包人对合同工程的安全施工负责，并应及时、如实报告生产安全事故。承包人违反上述规定或由于承包人原因造成的安全事故，由承包人承担相应责任和费用，工期不予顺延。</w:t>
      </w:r>
    </w:p>
    <w:p w14:paraId="1F68E99D">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22、合同工程临近动力设备、输电线路、地下管道、密封防震车间、易燃易爆地段、建（构）筑物以及临街交通要道施工时，按有关规定应当采取防护措施的，施工开始前承包人应向工程师提出安全防护措施，经工程师认可后实施。防护措施费由发包人承担。</w:t>
      </w:r>
    </w:p>
    <w:p w14:paraId="76D7D100">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23、实施爆破作业，在放射、毒害性环境中施工（含储存、运输、使用）及使用毒害性、腐蚀性物品施工时，承包人应在施工前14天以书面通知工程师，并提出相应的安全防护措施，经工程师认可后实施，由发包人承担安全防护措施费用。</w:t>
      </w:r>
    </w:p>
    <w:p w14:paraId="5D320784">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24、事故处理</w:t>
      </w:r>
    </w:p>
    <w:p w14:paraId="585F8920">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24.1发生伤亡及其他安全事故，承包人应按有关规定立即上报有关部门并通知工程师，同时按政府有关部门要求处理，由事故责任方承担发生的费用。</w:t>
      </w:r>
    </w:p>
    <w:p w14:paraId="148BF430">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24.2发包人承包人对事故责任有争议时，应按政府有关部门的认定处理。</w:t>
      </w:r>
    </w:p>
    <w:p w14:paraId="28B570A8">
      <w:pPr>
        <w:pageBreakBefore w:val="0"/>
        <w:kinsoku/>
        <w:wordWrap/>
        <w:overflowPunct/>
        <w:topLinePunct w:val="0"/>
        <w:autoSpaceDE/>
        <w:autoSpaceDN/>
        <w:bidi w:val="0"/>
        <w:spacing w:before="120" w:beforeLines="50" w:after="120" w:afterLines="50" w:line="460" w:lineRule="exact"/>
        <w:textAlignment w:val="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六、合同价款</w:t>
      </w:r>
    </w:p>
    <w:p w14:paraId="2F0D7C78">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25、工程的计量规则和计价办法以《陕西省建设工程工程量清单计价规则》及相关规定为准，工程师应按照合同约定，依据上述规定进行工程计量和计价。</w:t>
      </w:r>
    </w:p>
    <w:p w14:paraId="059EB453">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26、合同价款约定</w:t>
      </w:r>
    </w:p>
    <w:p w14:paraId="5E736189">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26.1招标工程的合同价款由发包人承包人依据成交通知书中的中标价格在协议书内约定。非招标工程的合同价款由发包人承包人依据双方确认的工程预算书在协议书内约定。</w:t>
      </w:r>
    </w:p>
    <w:p w14:paraId="3C591A80">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26.2合同价款在协议书内约定后，任何一方不得擅自改变。下列三种确定合同价款的方式，双方可在专用条款内约定采用其中一种：</w:t>
      </w:r>
    </w:p>
    <w:p w14:paraId="5077FEC0">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（1）固定总价合同。合同工期较短且工程合同总价较低的工程，可以采用固定总价合同方式。</w:t>
      </w:r>
    </w:p>
    <w:p w14:paraId="12561BD7">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（2）固定综合单价合同。一般适用于工程量清单计价项目。双方在专用条款内约定综合单价包含的风险范围，在约定的风险范围内综合单价不再调整。风险范围以外的综合单价调整方法应当在专用条款内约定。</w:t>
      </w:r>
    </w:p>
    <w:p w14:paraId="6E85A4F5">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（3）可调价格合同。可调价格包括可调综合单价和措施项目费用等，双方应在专用条款内约定综合单价和措施项目费的调整方法。</w:t>
      </w:r>
    </w:p>
    <w:p w14:paraId="651FA701">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27、合同价款调整</w:t>
      </w:r>
    </w:p>
    <w:p w14:paraId="7962B807">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27.1价格中工程量、综合单价、措施项目费用的调整因素包括：</w:t>
      </w:r>
    </w:p>
    <w:p w14:paraId="7AF9F359">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（1）法律、行政法规和国家有关政策变化影响合同价款；</w:t>
      </w:r>
    </w:p>
    <w:p w14:paraId="044463E3">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（2）工程造价管理机构的价格调整；</w:t>
      </w:r>
    </w:p>
    <w:p w14:paraId="74565356">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（3）经批准的设计变更；</w:t>
      </w:r>
    </w:p>
    <w:p w14:paraId="78D1919B">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（4）发包人更改经审定批准的施工组织设计（修正错误除外）造成费用变化；</w:t>
      </w:r>
    </w:p>
    <w:p w14:paraId="68E53109">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（5）工程量清单的工程数量与实际工程量不符，按实际工程量进行调整计算；</w:t>
      </w:r>
    </w:p>
    <w:p w14:paraId="78F40356">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（6）费用索赔事件或发包人负责的其他情况；</w:t>
      </w:r>
    </w:p>
    <w:p w14:paraId="2F403789">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（7）双方在专用条款中约定的其他因素。</w:t>
      </w:r>
    </w:p>
    <w:p w14:paraId="4F53A6ED">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27.2承包人应当在27.1款情况发生后14天内，将调整原因、金额以书面形式通知工程师，工程师确认调整金额后作为追加合同价款，与工程款同期支付。工程师收到承包人通知后14天内不予确认也不提出修改意见，视为已经同意该项调整。承包人未在规定时间内通知发包人、或者未在规定时间内提出调整报告，发包人可以根据有关资料，决定是否调整和调整的金额并书面通知承包人，承包人如有异议，且协商达不成一致时，按第41条关于争议的约定处理。</w:t>
      </w:r>
    </w:p>
    <w:p w14:paraId="285BDEAD">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29、已完工程量确认</w:t>
      </w:r>
    </w:p>
    <w:p w14:paraId="19EACCF6">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29.1承包人应按专用条款约定的方法和时间，向工程师提交已完工程量的报告。工程师接到报告后14天内按设计图纸核实已完工程量（以下称计量），并在计量前24小时通知承包人，承包人为计量提供便利条件并派人参加。承包人收到通知后不参加计量，计量结果有效，作为工程价款支付的依据。</w:t>
      </w:r>
    </w:p>
    <w:p w14:paraId="0A467B1A">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29.2工程师收到承包人报告后14天内未进行计量，从第15天起，承包人报告中开列的工程量即视为被确认，作为工程价款支付的依据。工程师不按约定时间通知承包人，致使承包人未能参加计量，计量结果无效。</w:t>
      </w:r>
    </w:p>
    <w:p w14:paraId="0852A71A">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29.3对承包人超出设计图纸（含设计变更）范围和因承包人原因造成返工的工程量，工程师不予计量。</w:t>
      </w:r>
    </w:p>
    <w:p w14:paraId="58D428FE">
      <w:pPr>
        <w:pageBreakBefore w:val="0"/>
        <w:kinsoku/>
        <w:wordWrap/>
        <w:overflowPunct/>
        <w:topLinePunct w:val="0"/>
        <w:autoSpaceDE/>
        <w:autoSpaceDN/>
        <w:bidi w:val="0"/>
        <w:spacing w:before="120" w:beforeLines="50" w:after="120" w:afterLines="50" w:line="460" w:lineRule="exact"/>
        <w:textAlignment w:val="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七、材料设备供应</w:t>
      </w:r>
    </w:p>
    <w:p w14:paraId="205349E3">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31、发包人供应材料设备</w:t>
      </w:r>
    </w:p>
    <w:p w14:paraId="1A37F908">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31.1实行发包人供应材料设备的，双方应当约定发包人供应材料设备的一览表，作为本合同附件（附件2）。一览表包括发包人供应材料设备的品种、规格、型号、数量、单价、质量等级、提供时间和地点。</w:t>
      </w:r>
    </w:p>
    <w:p w14:paraId="2D761C7B">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31.2发包人按一览表约定的内容提供材料设备，并向承包人提供产品合格证明，对其质量负责。发包人在所供材料设备到货前24小时，以书面形式通知承包人，由承包人派人与发包人共同清点。</w:t>
      </w:r>
    </w:p>
    <w:p w14:paraId="4F977EE5">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31.3发包人供应的材料设备，承包人派人参加清点后由承包人妥善保管，发包人支付相应保管费用。因承包人原因发生丢失损坏，由承包人负责赔偿。发包人未通知承包人清点，承包人不负责材料设备的保管，丢失损坏由发包人负责。</w:t>
      </w:r>
    </w:p>
    <w:p w14:paraId="04D923A9">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31.4发包人供应的材料设备与一览表不符时，发包人承担有关责任。发包人应承担责任的具体内容，双方根据下列情况在专用条款内约定：</w:t>
      </w:r>
    </w:p>
    <w:p w14:paraId="1A5CB78D">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（1）材料设备单价与一览表不符，由发包人承担所有价差；</w:t>
      </w:r>
    </w:p>
    <w:p w14:paraId="73483242">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（2）材料设备的品种、规格、型号、质量等级与一览表不符，承包人可拒绝接收保管，由发包人运出施工场地并重新采购；</w:t>
      </w:r>
    </w:p>
    <w:p w14:paraId="5ACAE9E0">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（3）发包人供应的材料规格、型号与一览表不符，经发包人同意，承包人可代为调剂串换，由发包人承担相应费用；</w:t>
      </w:r>
    </w:p>
    <w:p w14:paraId="56463FCC">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（4）到货地点与一览表不符，由发包人负责运至一览表指定地点；</w:t>
      </w:r>
    </w:p>
    <w:p w14:paraId="7F396C4B">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（5）供应数量少于一览表约定的数量时，由发包人补齐，多于一览表约定数量时，发包人负责将多出部分运出施工场地；</w:t>
      </w:r>
    </w:p>
    <w:p w14:paraId="057BCBBA">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（6）到货时间早于一览表约定时间，由发包人承担因此发生的保管费用；到货时间迟于一览表约定的供应时间，发包人赔偿由此造成的承包人损失，造成工期延误的，相应顺延工期；</w:t>
      </w:r>
    </w:p>
    <w:p w14:paraId="06245D93">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31.5发包人供应的材料设备使用前，由承包人负责检验或试验，不合格的不得使用，检验或试验费用由发包人承担。</w:t>
      </w:r>
    </w:p>
    <w:p w14:paraId="62C8F8AB">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31.6发包人供应材料设备的结算方法，双方在专用条款内约定。</w:t>
      </w:r>
    </w:p>
    <w:p w14:paraId="32B157D4">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32、承包人采购材料设备</w:t>
      </w:r>
    </w:p>
    <w:p w14:paraId="4CBF601B">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32.1承包人负责采购材料设备的，应按照专用条款约定及设计和有关标准要求采购，并提供产品合格证明，对材料设备质量负责。承包人在材料设备到货前24小时通知工程师清点。</w:t>
      </w:r>
    </w:p>
    <w:p w14:paraId="4CB4DB71">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32.2承包人采购的材料设备与设计标准要求不符时，承包人应按工程师要求的时间运出施工场地，重新采购符合要求的产品，承担由此发生的费用，由此延误的工期不予顺延。</w:t>
      </w:r>
    </w:p>
    <w:p w14:paraId="6509E463">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32.3承包人采购的材料设备在使用前，承包人应按工程师的要求进行检验或试验，不合格的不得使用，检验或试验费用由承包人承担。</w:t>
      </w:r>
    </w:p>
    <w:p w14:paraId="13BCB999">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32.4工程师发现承包人采购并使用不符合设计和标准要求的材料设备时，应要求承包人负责修复、拆除或重新采购，由承包人承担发生的费用，由此延误的工期不予顺延。</w:t>
      </w:r>
    </w:p>
    <w:p w14:paraId="24A93116">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32.5承包人需要使用代用材料时，应经工程师认可后才能使用，由此增减的合同价款双方以书面形式议定。</w:t>
      </w:r>
    </w:p>
    <w:p w14:paraId="0C748D9B">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32.6由承包人采购的材料设备，发包人不得指定生产厂或供应商。</w:t>
      </w:r>
    </w:p>
    <w:p w14:paraId="73269D09">
      <w:pPr>
        <w:pageBreakBefore w:val="0"/>
        <w:kinsoku/>
        <w:wordWrap/>
        <w:overflowPunct/>
        <w:topLinePunct w:val="0"/>
        <w:autoSpaceDE/>
        <w:autoSpaceDN/>
        <w:bidi w:val="0"/>
        <w:spacing w:before="120" w:beforeLines="50" w:after="120" w:afterLines="50" w:line="460" w:lineRule="exact"/>
        <w:textAlignment w:val="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八、工程变更</w:t>
      </w:r>
    </w:p>
    <w:p w14:paraId="49DE2B47">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33、工程设计变更</w:t>
      </w:r>
    </w:p>
    <w:p w14:paraId="23A21B13">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33.1施工中发包人需对原工程设计变更，应提前14天以书面形式向承包人发出变更通知。变更超过原设计标准或批准的建设规模时，发包人应报规划管理部门和其他有关部门重新审查批准，并由原设计单位提供变更的相应图纸和说明。承包人按照工程师发出的变更通知及有关要求，进行下列需要的变更：</w:t>
      </w:r>
    </w:p>
    <w:p w14:paraId="556CB748">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（1）更改工程有关部分的标高、基线、位置和尺寸；</w:t>
      </w:r>
    </w:p>
    <w:p w14:paraId="2CE549BC">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（2）增减合同中约定的工程量；</w:t>
      </w:r>
    </w:p>
    <w:p w14:paraId="5F1168DF">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（3）改变有关工程的施工时间和顺序；</w:t>
      </w:r>
    </w:p>
    <w:p w14:paraId="2F894E48">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（4）其他有关工程变更需要的附加工作。</w:t>
      </w:r>
    </w:p>
    <w:p w14:paraId="1A105AC6">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因变更导致合同价款的增减及造成的承包人损失，由发包人承担，延误的工期相应顺延。</w:t>
      </w:r>
    </w:p>
    <w:p w14:paraId="26875C7D">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33.2施工中承包人不得对原工程设计进行变更。因承包人擅自变更设计发生的费用和由此导致发包人的直接损失，由承包人承担，延误的工期不予顺延。</w:t>
      </w:r>
    </w:p>
    <w:p w14:paraId="3735DCA7">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33.3承包人在施工中提出的合理化建议涉及到对设计图纸或施工组织设计的更改及对材料、设备的换用，须经工程师同意。未经同意擅自更改或换用时，承包人承担由此发生的费用，并赔偿发包人的有关损失，延误的工期不予顺延。工程师同意采用承包人合理化建议，所发生的费用和获得的收益，发包人承包人另行约定分担或分享。</w:t>
      </w:r>
    </w:p>
    <w:p w14:paraId="0403E626">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34、其他变更</w:t>
      </w:r>
    </w:p>
    <w:p w14:paraId="416DBFD2">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合同履行中发包人要求变更工程质量标准及发生其他实质性变更，由双方协商解决。</w:t>
      </w:r>
    </w:p>
    <w:p w14:paraId="57DDE540">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35、确定变更价款</w:t>
      </w:r>
    </w:p>
    <w:p w14:paraId="2DD07D68">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35.1承包人在工程变更确定后14天内，提出变更工程价款的报告，经工程师确认后调整合同价款。变更合同价款按下列方法进行：</w:t>
      </w:r>
    </w:p>
    <w:p w14:paraId="213F325E">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（1）合同中已有适用于变更工程的综合单价或价格，按合同已有的综合单价或价格变更合同价款；</w:t>
      </w:r>
    </w:p>
    <w:p w14:paraId="19B716E8">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（2）合同中只有类似于变更工程的综合单价或价格，可以参照类似综合单价或价格变更合同价款；</w:t>
      </w:r>
    </w:p>
    <w:p w14:paraId="0EE0F12F">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（3）合同中没有适用或类似于变更工程的综合单价或价格，由承包人或发包人提出综合单价或价格，经双方确认后执行。</w:t>
      </w:r>
    </w:p>
    <w:p w14:paraId="5C88F6AB">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35.2承包人在双方确定变更后14天内应向工程师提出变更工程价款报告，否则发包人可根据所掌握的资料决定是否调整合同价款和调整的具体金额，并书面通知承包人。</w:t>
      </w:r>
    </w:p>
    <w:p w14:paraId="3AA370F8">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35.3工程师应在收到变更工程价款报告之日起14天内予以确认，工程师无正当理由不确认也未提出协商意见时，自变更工程价款报告送达之日起14天后视为变更工程价款报告已被确认。</w:t>
      </w:r>
    </w:p>
    <w:p w14:paraId="111A66A1">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35.4发承包双方对变更价款不能达成一致时，按本通用条款第41条关于争议的约定处理。</w:t>
      </w:r>
    </w:p>
    <w:p w14:paraId="55D25189">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35.5因承包人自身原因导致的工程变更，承包人无权要求追加合同价款。</w:t>
      </w:r>
    </w:p>
    <w:p w14:paraId="045C199B">
      <w:pPr>
        <w:pageBreakBefore w:val="0"/>
        <w:kinsoku/>
        <w:wordWrap/>
        <w:overflowPunct/>
        <w:topLinePunct w:val="0"/>
        <w:autoSpaceDE/>
        <w:autoSpaceDN/>
        <w:bidi w:val="0"/>
        <w:spacing w:before="120" w:beforeLines="50" w:after="120" w:afterLines="50" w:line="460" w:lineRule="exact"/>
        <w:textAlignment w:val="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九、竣工验收与结算</w:t>
      </w:r>
    </w:p>
    <w:p w14:paraId="6AB611A8">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36、竣工验收</w:t>
      </w:r>
    </w:p>
    <w:p w14:paraId="2DFE6E24">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36.1工程具备竣工验收条件，承包人按国家工程竣工验收有关规定，向发包人提供完整竣工资料及竣工验收报告。双方约定由承包人提供竣工图的，应当在专用条款内约定提供的日期和份数。</w:t>
      </w:r>
    </w:p>
    <w:p w14:paraId="5033D315">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36.2发包人收到竣工验收报告后28天内组织有关单位验收，并在验收后14天内给予认可或提出修改意见。承包人按要求修改，并承担由自身原因造成修改的费用。</w:t>
      </w:r>
    </w:p>
    <w:p w14:paraId="164D1329">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36.3发包人收到承包人送交的竣工验收报告后28天内不组织验收，或验收后14天内不提出修改意见，视为竣工验收报告已被认可。</w:t>
      </w:r>
    </w:p>
    <w:p w14:paraId="4644E311">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36.4工程竣工验收通过，承包人送交竣工验收报告的日期为实际竣工日期。工程按发包人要求修改后通过竣工验收的，实际竣工日期为承包人修改后提请发包人验收的日期。</w:t>
      </w:r>
    </w:p>
    <w:p w14:paraId="59B5F051">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36.5发包人收到承包人竣工验收报告后28天内不组织验收，从第29天起承担工程保管及一切意外责任。</w:t>
      </w:r>
    </w:p>
    <w:p w14:paraId="520FFE00">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36.6中间交工工程的范围和竣工时间，双方在专用条款内约定，其验收程序按本通用条款36.1款至36.4款办理。</w:t>
      </w:r>
    </w:p>
    <w:p w14:paraId="19585F19">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36.7因特殊原因，发包人要求部分单位工程或工程部位甩项竣工的，双方另行签订甩项竣工协议，明确双方责任和工程价款的支付方法。</w:t>
      </w:r>
    </w:p>
    <w:p w14:paraId="2CB8047F">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36.8工程未经竣工验收或竣工验收未通过的，发包人不得使用。发包人强行使用时，由此发生的质量及其他问题，由发包人承担责任。</w:t>
      </w:r>
    </w:p>
    <w:p w14:paraId="47B35D1A">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37、竣工结算</w:t>
      </w:r>
    </w:p>
    <w:p w14:paraId="112E5C94">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37.1工程竣工结算分为单位工程竣工结算、单项工程竣工结算和建设项目竣工总结算。</w:t>
      </w:r>
    </w:p>
    <w:p w14:paraId="1773F9B4">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37.2承包人应在工程通过竣工验收后，工程竣工结算报告金额在500万元以下的工程一般在20天以内、工程竣工结算报告金额在500万元以上的工程一般在60天以内向发包人递交竣工结算报告及完整的结算资料，双方按照协议书约定的合同价款及专用条款约定的合同价款调整内容，进行工程竣工结算。</w:t>
      </w:r>
    </w:p>
    <w:p w14:paraId="25343184">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建设项目总结算在最后一个单项工程竣工结算审查确认后，一般在15天以内向发包人提交竣工结算汇总资料。</w:t>
      </w:r>
    </w:p>
    <w:p w14:paraId="1B6057D7">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37.3发包人收到承包人递交的单位单项工程竣工结算报告及结算资料后，工程竣工结算报告金额在500万元以下的工程一般在20天以内、工程竣工结算报告金额在500万元以上的工程一般在60天以内（合同约定有期限的，从其约定）进行审查，给予确认或者提出修改意见。发包人确认竣工结算报告后向承包人支付工程竣工结算价款。</w:t>
      </w:r>
    </w:p>
    <w:p w14:paraId="59B7C47A">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37.4承包人收到竣工结算价款后14天内将竣工工程交付发包人。</w:t>
      </w:r>
    </w:p>
    <w:p w14:paraId="274139E9">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37.5发包人收到承包人建设项目竣工总结算汇总资料后30天内，审查完成。</w:t>
      </w:r>
    </w:p>
    <w:p w14:paraId="23924562">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37.6发包人收到竣工结算报告及结算资料后，在本条规定期限内对结算报告及资料没有提出意见则视同认可。</w:t>
      </w:r>
    </w:p>
    <w:p w14:paraId="583BBC38">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37.7承包人如未在规定时间内提供完整的工程竣工结算资料，经发包人催促后14天内仍未提供或没有明确答复，发包人有权根据已有资料进行审查，责任由承包人自负。发包人要求交付工程的，承包人应当交付；发包人不要求交付工程的，承包人承担保管责任。</w:t>
      </w:r>
    </w:p>
    <w:p w14:paraId="5F674975">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37.8根据确认的竣工结算报告，承包人向发包人申请支付工程竣工结算款。发包人应在收到申请后15天内支付结算款，到期没有支付的应承担违约责任。承包人可以催告发包人支付结算价款，如达成延期支付协议的，发包人应按同期银行贷款利率支付拖欠工程价款的利息。如未达成延期支付协议，承包人可以与发包人协商将该工程折价或申请人民法院将该工程依法拍卖，承包人就该工程折价或者拍卖的价款优先受偿。</w:t>
      </w:r>
    </w:p>
    <w:p w14:paraId="05B843E2">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37.9发包人承包人对工程竣工结算价款发生争议时，按本通用条款第41条关于争议的约定处理。</w:t>
      </w:r>
    </w:p>
    <w:p w14:paraId="5FDAAA55">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38、质量保证</w:t>
      </w:r>
    </w:p>
    <w:p w14:paraId="09206130">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38.1承包人应按法律、行政法规或国家关于工程质量保修的有关规定，对交付发包人使用的工程在质量保修期内承担质量保修责任。</w:t>
      </w:r>
    </w:p>
    <w:p w14:paraId="4343C736">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38.2质量保修工作的实施。承包人与发包人签订质量保修书，作为本合同附件（附件３）。发包人应明确保证金预留、返还等内容，并与承包人在合同条款中对涉及保证金的下列事项进行约定：</w:t>
      </w:r>
    </w:p>
    <w:p w14:paraId="518396FC">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（1）保证金预留、返还方式；</w:t>
      </w:r>
    </w:p>
    <w:p w14:paraId="40132562">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（2）保证金预留比例、期限；</w:t>
      </w:r>
    </w:p>
    <w:p w14:paraId="360A4D4F">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（3）保证金是否计付利息，如计利息，利息的计算方式；</w:t>
      </w:r>
    </w:p>
    <w:p w14:paraId="288D766F">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（4）缺陷责任期的期限及计算方式；</w:t>
      </w:r>
    </w:p>
    <w:p w14:paraId="698DD950">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（5）保证金预留、返还及工程维修质量、费用等争议的处理程序；</w:t>
      </w:r>
    </w:p>
    <w:p w14:paraId="72E580CE">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（6）缺陷责任期内出现缺陷的索赔方式。</w:t>
      </w:r>
    </w:p>
    <w:p w14:paraId="3CCA93EB">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38.3质量保修书的主要内容包括：</w:t>
      </w:r>
    </w:p>
    <w:p w14:paraId="0AA3B2D3">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（1）质量保修项目内容及范围；</w:t>
      </w:r>
    </w:p>
    <w:p w14:paraId="68746D19">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（2）质量保修期；</w:t>
      </w:r>
    </w:p>
    <w:p w14:paraId="64EA8366">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（3）质量保修责任；</w:t>
      </w:r>
    </w:p>
    <w:p w14:paraId="25EA7874">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（4）质量保修金的支付方法。</w:t>
      </w:r>
    </w:p>
    <w:p w14:paraId="7A268D36">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38.4质量保证金按工程价款结算总额5%以内的比例预留。</w:t>
      </w:r>
    </w:p>
    <w:p w14:paraId="3CE6BFED">
      <w:pPr>
        <w:pageBreakBefore w:val="0"/>
        <w:kinsoku/>
        <w:wordWrap/>
        <w:overflowPunct/>
        <w:topLinePunct w:val="0"/>
        <w:autoSpaceDE/>
        <w:autoSpaceDN/>
        <w:bidi w:val="0"/>
        <w:spacing w:before="120" w:beforeLines="50" w:after="120" w:afterLines="50" w:line="460" w:lineRule="exact"/>
        <w:textAlignment w:val="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十、违约、索赔和争议</w:t>
      </w:r>
    </w:p>
    <w:p w14:paraId="5263E102">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39、违约</w:t>
      </w:r>
    </w:p>
    <w:p w14:paraId="1A621741">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39.1发包人违约。当发生下列情况时：</w:t>
      </w:r>
    </w:p>
    <w:p w14:paraId="21BA8B37">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val="en-US" w:eastAsia="zh-CN"/>
        </w:rPr>
        <w:t>1</w:t>
      </w:r>
      <w:r>
        <w:rPr>
          <w:rFonts w:hint="eastAsia" w:ascii="宋体" w:hAnsi="宋体" w:eastAsia="宋体" w:cs="宋体"/>
          <w:color w:val="auto"/>
          <w:sz w:val="24"/>
          <w:highlight w:val="none"/>
        </w:rPr>
        <w:t>）本通用条款第37.6款提到的发包人无正当理由不支付工程竣工结算价款；</w:t>
      </w:r>
    </w:p>
    <w:p w14:paraId="7BE5DCE6">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val="en-US" w:eastAsia="zh-CN"/>
        </w:rPr>
        <w:t>2</w:t>
      </w:r>
      <w:r>
        <w:rPr>
          <w:rFonts w:hint="eastAsia" w:ascii="宋体" w:hAnsi="宋体" w:eastAsia="宋体" w:cs="宋体"/>
          <w:color w:val="auto"/>
          <w:sz w:val="24"/>
          <w:highlight w:val="none"/>
        </w:rPr>
        <w:t>）发包人不履行合同义务或不按合同约定履行义务的其他情况。</w:t>
      </w:r>
    </w:p>
    <w:p w14:paraId="0D3F7E6F">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发包人承担违约责任，赔偿因其违约给承包人造成的经济损失，顺延延误的工期。双方在专用条款内约定发包人赔偿承包人损失的计算方法或者发包人应当支付违约金的数额和计算方法。</w:t>
      </w:r>
    </w:p>
    <w:p w14:paraId="686DEC0E">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39.2承包人违约。当发生下列情况时：</w:t>
      </w:r>
    </w:p>
    <w:p w14:paraId="2983C835">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（1）本通用条款第14.2款提到的因承包人原因不能按照协议书约定的竣工日期或工程师同意顺延的工期竣工；</w:t>
      </w:r>
    </w:p>
    <w:p w14:paraId="540B27B2">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（2）本通用条款第15.1款提到的因承包人原因工程质量达不到协议书约定的质量标准；</w:t>
      </w:r>
    </w:p>
    <w:p w14:paraId="4C4E731D">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（3）承包人不履行合同义务或不按合同约定履行义务的其他情况。</w:t>
      </w:r>
    </w:p>
    <w:p w14:paraId="0D52FC43">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承包人承担违约责任，赔偿因其违约给发包人造成的损失。双方在专用条款内约定承包人赔偿发包人损失的计算方法或者承包人应当支付违约金的数额和计算方法。</w:t>
      </w:r>
    </w:p>
    <w:p w14:paraId="0B5B4676">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39.3一方违约后，另一方要求违约方继续履行合同时，违约方承担上述违约责任后仍应继续履行合同。</w:t>
      </w:r>
    </w:p>
    <w:p w14:paraId="368CFE73">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40、索赔</w:t>
      </w:r>
    </w:p>
    <w:p w14:paraId="4801782B">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40.1当一方向另一方提出索赔时，要有正当索赔理由，且有索赔事件发生时的有效证据。</w:t>
      </w:r>
    </w:p>
    <w:p w14:paraId="65029428">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40.2发包人未能按合同约定履行自己的各项义务或发生错误以及应由发包人承担责任的其他情况，造成工期延误和（或）承包人不能及时得到合同价款及承包人的其他经济损失，承包人可按下列程序以书面形式向发包人索赔：</w:t>
      </w:r>
    </w:p>
    <w:p w14:paraId="693F1E8D">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（1）索赔事件发生后28天内，向工程师发出索赔意向通知；</w:t>
      </w:r>
    </w:p>
    <w:p w14:paraId="3C0AD4CF">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（2）发出索赔意向通知后28天内，向工程师提出延长工期和（或）补偿经济损失的索赔报告及有关资料；</w:t>
      </w:r>
    </w:p>
    <w:p w14:paraId="112D56C3">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（3）工程师在收到承包人送交的索赔报告和有关资料后，于28天内给予答复，或要求承包人进一步补充索赔理由和证据；</w:t>
      </w:r>
    </w:p>
    <w:p w14:paraId="54B79ED1">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（4）工程师在收到承包人送交的索赔报告和有关资料后28天内未予答复或未对承包人作进一步要求，视为该项索赔已经认可；</w:t>
      </w:r>
    </w:p>
    <w:p w14:paraId="001CD330">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（5）当该索赔事件持续进行时，承包人应当阶段性向工程师发出索赔意向，在索赔事件终了后28天内，向工程师送交索赔的有关资料和最终索赔报告。索赔答复程序与（3）、（4）规定相同。</w:t>
      </w:r>
    </w:p>
    <w:p w14:paraId="41C536EA">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40.3承包人未能按合同约定履行自己的各项义务或发生错误，给发包人造成经济损失，发包人可按40.2款确定的时限向承包人提出索赔。</w:t>
      </w:r>
    </w:p>
    <w:p w14:paraId="2DB48E4A">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41、争议</w:t>
      </w:r>
    </w:p>
    <w:p w14:paraId="2305C316">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41.1发包人承包人在履行合同时发生争议，可以协商和解或者要求有关主管部门调解。当事人不愿和解、调解或者和解、调解不成的，双方可以在专用条款内约定以下一种方式解决争议：第一种解决方式：双方达成仲裁协议，向约定的仲裁委员会申请仲裁；第二种解决方式：向有管辖权的人民法院起诉。</w:t>
      </w:r>
    </w:p>
    <w:p w14:paraId="6B169FA1">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41.2发生争议后，除非出现下列情况的，双方都应继续履行合同，保持施工连续，保护好已完工程：</w:t>
      </w:r>
    </w:p>
    <w:p w14:paraId="709342C3">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（1）单方违约导致合同确已无法履行，双方协议停止施工；</w:t>
      </w:r>
    </w:p>
    <w:p w14:paraId="3BDD5BD8">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（2）调解要求停止施工，且为双方接受；</w:t>
      </w:r>
    </w:p>
    <w:p w14:paraId="70092FCC">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（3）仲裁机构要求停止施工；</w:t>
      </w:r>
    </w:p>
    <w:p w14:paraId="5708C7E4">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（4）法院要求停止施工。</w:t>
      </w:r>
    </w:p>
    <w:p w14:paraId="2228E03C">
      <w:pPr>
        <w:pageBreakBefore w:val="0"/>
        <w:kinsoku/>
        <w:wordWrap/>
        <w:overflowPunct/>
        <w:topLinePunct w:val="0"/>
        <w:autoSpaceDE/>
        <w:autoSpaceDN/>
        <w:bidi w:val="0"/>
        <w:spacing w:before="120" w:beforeLines="50" w:after="120" w:afterLines="50" w:line="460" w:lineRule="exact"/>
        <w:textAlignment w:val="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十一、其他</w:t>
      </w:r>
    </w:p>
    <w:p w14:paraId="045F36FD">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42、工程分包</w:t>
      </w:r>
    </w:p>
    <w:p w14:paraId="32DD9D9F">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42.1承包人需要将专业工程或劳务进行分包的，应分包给具有相应资质的专业或劳务企业，并与分包企业签订分包合同。</w:t>
      </w:r>
    </w:p>
    <w:p w14:paraId="722F2C51">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42.2承包人不得将其承包的工程转包给他人，也不得将其承包的工程以分包的名义转包给他人。</w:t>
      </w:r>
    </w:p>
    <w:p w14:paraId="5217211B">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42.3工程分包不能解除承包人任何责任与义务。承包人应在分包场地派驻相应管理人员，保证本合同的履行。分包单位的任何违约行为或疏忽导致工程损害或给发包人造成其他损失，承包人承担连带责任。</w:t>
      </w:r>
    </w:p>
    <w:p w14:paraId="1B9C13D9">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42.4分包工程价款由承包人与分包单位结算。发包人未经承包人同意不得以任何形式向分包单位支付各种工程款项。</w:t>
      </w:r>
    </w:p>
    <w:p w14:paraId="08247DE8">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42.5承包人应按时支付分包工程款及劳务费。若承包人不能按时支付时，发包人可将此部分款项从向承包人支付的工程款中扣出并直接支付给分包人和劳务人员。</w:t>
      </w:r>
    </w:p>
    <w:p w14:paraId="7484C5B7">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43、不可抗力</w:t>
      </w:r>
    </w:p>
    <w:p w14:paraId="0D105AF4">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43.1不可抗力包括因战争、动乱、空中飞行物体坠落或其他非发包人承包人责任造成的爆炸、火灾，以及专用条款约定的风、雨、雪、洪、震等自然灾害。</w:t>
      </w:r>
    </w:p>
    <w:p w14:paraId="15E2BF84">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43.2不可抗力事件发生后，承包人应立即通知工程师，双方应在力所能及的条件下迅速采取措施，尽力减少损失，发包人应协助承包人采取措施。工程师认为应当暂停施工的，承包人应暂停施工。不可抗力事件结束后48小时内承包人向工程师通报受害情况和损失情况，及预计清理和修复的费用。不可抗事件持续发生，承包人应每隔7天向工程师报告一次受害情况。不可抗力事件结束后14天内，承包人向工程师提交清理和修复费用的正式报告及有关资料。</w:t>
      </w:r>
    </w:p>
    <w:p w14:paraId="1A5B6896">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43.3因不可抗力事件导致的费用及延误的工期由双方按以下方法分别承担：</w:t>
      </w:r>
    </w:p>
    <w:p w14:paraId="5AF24C97">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（1）工程本身的损害、因工程损害导致第三人人员伤亡和财产损失以及运至施工场地用于施工的材料和待安装的设备的损害，由发包人承担；</w:t>
      </w:r>
    </w:p>
    <w:p w14:paraId="68EAC538">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（2）发包人承包人人员伤亡由其所在单位负责，并承担相应费用；</w:t>
      </w:r>
    </w:p>
    <w:p w14:paraId="36658489">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（3）承包人机械设备损坏及停工损失，由承包人承担；</w:t>
      </w:r>
    </w:p>
    <w:p w14:paraId="322AFCAF">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（4）停工期间，承包人应工程师要求留在施工场地的必要的管理人员及保卫人员的费用由发包人承担；</w:t>
      </w:r>
    </w:p>
    <w:p w14:paraId="2D9A9655">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（5）工程所需清理、修复费用，由发包人承担；</w:t>
      </w:r>
    </w:p>
    <w:p w14:paraId="5E78355E">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（6）延误的工期相应顺延。</w:t>
      </w:r>
    </w:p>
    <w:p w14:paraId="7C7F49B8">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43.4因合同一方迟延履行合同后发生不可抗力的，不能免除迟延履行方的相应责任。</w:t>
      </w:r>
    </w:p>
    <w:p w14:paraId="1455E245">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44、保险</w:t>
      </w:r>
    </w:p>
    <w:p w14:paraId="169A9AA8">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44.1工程开工前，发包人为建设工程和施工现场内的自有人员及第三人人员生命财产办理保险，支付保险费用。</w:t>
      </w:r>
    </w:p>
    <w:p w14:paraId="77A18C62">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44.2发包人供应的运至施工场地内用于工程的材料设备，由发包人办理保险，并支付保险费用。</w:t>
      </w:r>
    </w:p>
    <w:p w14:paraId="3E974860">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44.3发包人可以将有关保险事项委托承包人办理，费用由发包人承担。</w:t>
      </w:r>
    </w:p>
    <w:p w14:paraId="2276F7EA">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44.4承包人必须为施工场地内施工人员办理意外伤害保险和工伤保险，并为施工场地内的施工机械设备办理财产保险，支付保险费用。</w:t>
      </w:r>
    </w:p>
    <w:p w14:paraId="5F9AEF79">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44.5保险事故发生时，发包人承包人有责任尽力采取必要的措施，防止或者减少损失。</w:t>
      </w:r>
    </w:p>
    <w:p w14:paraId="6DAC329B">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44.6具体投保内容和相关责任，发包人承包人在专用条款中约定。</w:t>
      </w:r>
    </w:p>
    <w:p w14:paraId="6A58AA1C">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45、担保</w:t>
      </w:r>
    </w:p>
    <w:p w14:paraId="010CD8FA">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45.1发包人承包人为了全面履行合同，应互相提供以下担保：</w:t>
      </w:r>
    </w:p>
    <w:p w14:paraId="6A0AB5F0">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（1）发包人向承包人提供支付担保，按合同约定支付工程价款及履行合同约定的其他义务。</w:t>
      </w:r>
    </w:p>
    <w:p w14:paraId="77E2A22B">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（2）承包人向发包人提供履约担保，按合同约定履行自己的各项义务。</w:t>
      </w:r>
    </w:p>
    <w:p w14:paraId="6A0C6D2D">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45.2一方违约后，另一方可要求提供担保的第三人承担相应责任。</w:t>
      </w:r>
    </w:p>
    <w:p w14:paraId="33D3894C">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45.3提供担保的内容、方式和相关责任，发包人承包人除在专用条款中约定外，被担保方与担保方还应签订担保合同，作为本合同附件。</w:t>
      </w:r>
    </w:p>
    <w:p w14:paraId="7C6D684B">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46、专利技术及特殊工艺</w:t>
      </w:r>
    </w:p>
    <w:p w14:paraId="3ED930AD">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46.1发包人要求使用专利技术或特殊工艺，应负责办理相应的申报手续，承担申报、试验、使用等费用；承包人提出使用专利技术或特殊工艺，应取得工程师认可，承包人负责办理申报手续并承担有关费用。</w:t>
      </w:r>
    </w:p>
    <w:p w14:paraId="410347F2">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46.2擅自使用专利技术侵犯他人专利权的，责任者依法承担相应责任。</w:t>
      </w:r>
    </w:p>
    <w:p w14:paraId="3E583D8B">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47、文物和地下障碍物</w:t>
      </w:r>
    </w:p>
    <w:p w14:paraId="198EF26C">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47.1在施工中发现古墓、古建筑遗址等文物及化石或其他有考古、地质研究等价值的物品时，承包人应立即保护好现场并于4小时内以书面形式通知工程师，工程师应于收到书面通知后24小时内报告当地文物管理部门，发包人承包人按文物管理部门的要求采取妥善保护措施。发包人承担由此发生的费用，顺延延误的工期。</w:t>
      </w:r>
    </w:p>
    <w:p w14:paraId="023EA1CF">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如发现后隐瞒不报，致使文物遭受破坏，责任者依法承担相应责任。</w:t>
      </w:r>
    </w:p>
    <w:p w14:paraId="03281AD5">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47.2施工中发现影响施工的地下障碍物时，承包人应于8小时内以书面形式通知工程师，同时提出处置方案，工程师收到处置方案后24小时内予以认可或提出修正方案。发包人承担由此发生的费用，顺延延误的工期。</w:t>
      </w:r>
    </w:p>
    <w:p w14:paraId="14628A29">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所发现的地下障碍物有归属单位时，发包人应报请有关部门协同处置。</w:t>
      </w:r>
    </w:p>
    <w:p w14:paraId="4404194D">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48、合同解除</w:t>
      </w:r>
    </w:p>
    <w:p w14:paraId="1C0958CB">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48.1发包人承包人协商一致，可以解除合同。</w:t>
      </w:r>
    </w:p>
    <w:p w14:paraId="4ED6A6E4">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48.2发生本通用条款第30.5款情况，停止施工超过56天，发包人仍不支付工程款（进度款），承包人有权解除合同。</w:t>
      </w:r>
    </w:p>
    <w:p w14:paraId="1F38ACE7">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48.3发生本通用条款第42.2款禁止的情况，发包人有权解除合同。</w:t>
      </w:r>
    </w:p>
    <w:p w14:paraId="0EDDD9A1">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48.4有下列情形之一的，发包人承包人可以解除合同：</w:t>
      </w:r>
    </w:p>
    <w:p w14:paraId="7A22C1AA">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（1）因不可抗力致使合同无法履行；</w:t>
      </w:r>
    </w:p>
    <w:p w14:paraId="7BD16E7B">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（2）因一方违约（包括因发包人原因造成工程停建或缓建）致使合同无法履行。</w:t>
      </w:r>
    </w:p>
    <w:p w14:paraId="1CF94800">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48.5一方依据48.2、48.3、48.4款约定要求解除合同的，应以书面形式向对方发出解除合同的通知，并在发出通知前7天告知对方，通知到达对方时合同解除。对解除合同有争议的，按本通用条款第41条关于争议的约定处理。</w:t>
      </w:r>
    </w:p>
    <w:p w14:paraId="59B22BE2">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48.6合同解除后，承包人应妥善做好已完工程和已购材料、设备的保护和移交工作，按发包人要求将自有机械设备和人员撤出施工场地。发包人应为承包人撤出提供必要条件，支付以上所发生的费用，并按合同约定支付已完工程价款。已经订货的材料、设备由订货方负责退货或解除订货合同，不能退还的货款和因退货、解除订货合同发生的费用，由发包人承担，因未及时退货造成的损失由责任方承担。除此之外，有过错的一方应当赔偿因合同解除给对方造成的损失。</w:t>
      </w:r>
    </w:p>
    <w:p w14:paraId="7F61A7B8">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48.7合同解除后，不影响双方在合同中约定的结算和清理条款的效力。</w:t>
      </w:r>
    </w:p>
    <w:p w14:paraId="2FB46B89">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49、合同生效与终止</w:t>
      </w:r>
    </w:p>
    <w:p w14:paraId="12C4C384">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49.1双方在协议书中约定合同生效方式。</w:t>
      </w:r>
    </w:p>
    <w:p w14:paraId="297E1EA0">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49.2除本通用条款第38条外，发包人承包人履行合同全部义务，竣工结算价款支付完毕，承包人向发包人交付竣工工程后，本合同即告终止。</w:t>
      </w:r>
    </w:p>
    <w:p w14:paraId="1962AEC4">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49.3合同的权利义务终止后，发包人承包人应当遵循诚实信用原则，履行通知、协助、保密等义务。</w:t>
      </w:r>
    </w:p>
    <w:p w14:paraId="4983A3CE">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50、合同份数</w:t>
      </w:r>
    </w:p>
    <w:p w14:paraId="7325F61E">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50.1本合同正本两份，具有同等效力，由发包人承包人分别保存一份。</w:t>
      </w:r>
    </w:p>
    <w:p w14:paraId="71AD0402">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50.2本合同副本份数，由双方根据需要在专用条款内约定。</w:t>
      </w:r>
    </w:p>
    <w:p w14:paraId="439DCEF3">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51、补充条款</w:t>
      </w:r>
    </w:p>
    <w:p w14:paraId="289F58EC">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szCs w:val="21"/>
          <w:highlight w:val="none"/>
        </w:rPr>
      </w:pPr>
      <w:r>
        <w:rPr>
          <w:rFonts w:hint="eastAsia" w:ascii="宋体" w:hAnsi="宋体" w:eastAsia="宋体" w:cs="宋体"/>
          <w:color w:val="auto"/>
          <w:sz w:val="24"/>
          <w:highlight w:val="none"/>
        </w:rPr>
        <w:t>双方根据有关法律、行政法规规定，结合工程实际经协商一致后，可对本通用条款内容具体化、补充或修改，在专用条款内约定。</w:t>
      </w:r>
    </w:p>
    <w:p w14:paraId="5AA94422">
      <w:pPr>
        <w:keepNext/>
        <w:keepLines/>
        <w:pageBreakBefore w:val="0"/>
        <w:widowControl w:val="0"/>
        <w:kinsoku/>
        <w:wordWrap/>
        <w:overflowPunct/>
        <w:topLinePunct w:val="0"/>
        <w:autoSpaceDE/>
        <w:autoSpaceDN/>
        <w:bidi w:val="0"/>
        <w:adjustRightInd/>
        <w:snapToGrid/>
        <w:spacing w:before="120" w:beforeLines="50" w:after="120" w:afterLines="50" w:line="460" w:lineRule="exact"/>
        <w:jc w:val="center"/>
        <w:textAlignment w:val="auto"/>
        <w:outlineLvl w:val="2"/>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br w:type="page"/>
      </w:r>
      <w:bookmarkStart w:id="15" w:name="_Toc32587"/>
      <w:r>
        <w:rPr>
          <w:rFonts w:hint="eastAsia" w:ascii="宋体" w:hAnsi="宋体" w:eastAsia="宋体" w:cs="宋体"/>
          <w:b/>
          <w:bCs/>
          <w:color w:val="auto"/>
          <w:sz w:val="24"/>
          <w:highlight w:val="none"/>
        </w:rPr>
        <w:t>第三部分  专用条款</w:t>
      </w:r>
      <w:bookmarkEnd w:id="2"/>
      <w:bookmarkEnd w:id="3"/>
      <w:bookmarkEnd w:id="4"/>
      <w:bookmarkEnd w:id="5"/>
      <w:bookmarkEnd w:id="6"/>
      <w:bookmarkEnd w:id="7"/>
      <w:bookmarkEnd w:id="8"/>
      <w:bookmarkEnd w:id="9"/>
      <w:bookmarkEnd w:id="10"/>
      <w:bookmarkEnd w:id="11"/>
      <w:bookmarkEnd w:id="12"/>
      <w:bookmarkEnd w:id="13"/>
      <w:bookmarkEnd w:id="14"/>
      <w:bookmarkEnd w:id="15"/>
    </w:p>
    <w:p w14:paraId="146522D8">
      <w:pPr>
        <w:pageBreakBefore w:val="0"/>
        <w:kinsoku/>
        <w:wordWrap/>
        <w:overflowPunct/>
        <w:topLinePunct w:val="0"/>
        <w:autoSpaceDE/>
        <w:autoSpaceDN/>
        <w:bidi w:val="0"/>
        <w:spacing w:line="460" w:lineRule="exact"/>
        <w:textAlignment w:val="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一、词语定义及合同文件</w:t>
      </w:r>
    </w:p>
    <w:p w14:paraId="33ECE16E">
      <w:pPr>
        <w:pageBreakBefore w:val="0"/>
        <w:kinsoku/>
        <w:wordWrap/>
        <w:overflowPunct/>
        <w:topLinePunct w:val="0"/>
        <w:autoSpaceDE/>
        <w:autoSpaceDN/>
        <w:bidi w:val="0"/>
        <w:spacing w:line="460" w:lineRule="exact"/>
        <w:textAlignment w:val="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2、合同文件及解释顺序</w:t>
      </w:r>
    </w:p>
    <w:p w14:paraId="4EB2460D">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b/>
          <w:color w:val="auto"/>
          <w:sz w:val="24"/>
          <w:highlight w:val="none"/>
          <w:u w:val="single"/>
        </w:rPr>
      </w:pPr>
      <w:r>
        <w:rPr>
          <w:rFonts w:hint="eastAsia" w:ascii="宋体" w:hAnsi="宋体" w:eastAsia="宋体" w:cs="宋体"/>
          <w:color w:val="auto"/>
          <w:sz w:val="24"/>
          <w:highlight w:val="none"/>
        </w:rPr>
        <w:t>合同文件组成及解释顺序：</w:t>
      </w:r>
      <w:r>
        <w:rPr>
          <w:rFonts w:hint="eastAsia" w:ascii="宋体" w:hAnsi="宋体" w:eastAsia="宋体" w:cs="宋体"/>
          <w:b/>
          <w:color w:val="auto"/>
          <w:sz w:val="24"/>
          <w:highlight w:val="none"/>
          <w:u w:val="single"/>
        </w:rPr>
        <w:t>同通用条款。</w:t>
      </w:r>
    </w:p>
    <w:p w14:paraId="008B4114">
      <w:pPr>
        <w:pageBreakBefore w:val="0"/>
        <w:widowControl/>
        <w:kinsoku/>
        <w:wordWrap/>
        <w:overflowPunct/>
        <w:topLinePunct w:val="0"/>
        <w:autoSpaceDE/>
        <w:autoSpaceDN/>
        <w:bidi w:val="0"/>
        <w:spacing w:line="460" w:lineRule="exact"/>
        <w:jc w:val="left"/>
        <w:textAlignment w:val="auto"/>
        <w:rPr>
          <w:rFonts w:hint="eastAsia" w:ascii="宋体" w:hAnsi="宋体" w:eastAsia="宋体" w:cs="宋体"/>
          <w:color w:val="auto"/>
          <w:kern w:val="0"/>
          <w:sz w:val="24"/>
          <w:highlight w:val="none"/>
        </w:rPr>
      </w:pPr>
      <w:r>
        <w:rPr>
          <w:rFonts w:hint="eastAsia" w:ascii="宋体" w:hAnsi="宋体" w:eastAsia="宋体" w:cs="宋体"/>
          <w:b/>
          <w:color w:val="auto"/>
          <w:sz w:val="24"/>
          <w:highlight w:val="none"/>
        </w:rPr>
        <w:t>3、语言文字和适用法律、标准及规范</w:t>
      </w:r>
    </w:p>
    <w:p w14:paraId="7D8E6E8E">
      <w:pPr>
        <w:pageBreakBefore w:val="0"/>
        <w:kinsoku/>
        <w:wordWrap/>
        <w:overflowPunct/>
        <w:topLinePunct w:val="0"/>
        <w:autoSpaceDE/>
        <w:autoSpaceDN/>
        <w:bidi w:val="0"/>
        <w:spacing w:line="460" w:lineRule="exac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3.1本合同除使用</w:t>
      </w:r>
      <w:r>
        <w:rPr>
          <w:rFonts w:hint="eastAsia" w:ascii="宋体" w:hAnsi="宋体" w:eastAsia="宋体" w:cs="宋体"/>
          <w:b/>
          <w:color w:val="auto"/>
          <w:sz w:val="24"/>
          <w:highlight w:val="none"/>
          <w:u w:val="single"/>
        </w:rPr>
        <w:t xml:space="preserve"> 汉语 </w:t>
      </w:r>
      <w:r>
        <w:rPr>
          <w:rFonts w:hint="eastAsia" w:ascii="宋体" w:hAnsi="宋体" w:eastAsia="宋体" w:cs="宋体"/>
          <w:color w:val="auto"/>
          <w:sz w:val="24"/>
          <w:highlight w:val="none"/>
        </w:rPr>
        <w:t>外，还使用</w:t>
      </w:r>
      <w:r>
        <w:rPr>
          <w:rFonts w:hint="eastAsia" w:ascii="宋体" w:hAnsi="宋体" w:eastAsia="宋体" w:cs="宋体"/>
          <w:color w:val="auto"/>
          <w:sz w:val="24"/>
          <w:highlight w:val="none"/>
          <w:u w:val="single"/>
        </w:rPr>
        <w:t xml:space="preserve">  </w:t>
      </w:r>
      <w:r>
        <w:rPr>
          <w:rFonts w:hint="eastAsia" w:ascii="宋体" w:hAnsi="宋体" w:eastAsia="宋体" w:cs="宋体"/>
          <w:b/>
          <w:color w:val="auto"/>
          <w:sz w:val="24"/>
          <w:highlight w:val="none"/>
          <w:u w:val="single"/>
        </w:rPr>
        <w:t>/</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语言文字</w:t>
      </w:r>
    </w:p>
    <w:p w14:paraId="3EB63D3D">
      <w:pPr>
        <w:pageBreakBefore w:val="0"/>
        <w:kinsoku/>
        <w:wordWrap/>
        <w:overflowPunct/>
        <w:topLinePunct w:val="0"/>
        <w:autoSpaceDE/>
        <w:autoSpaceDN/>
        <w:bidi w:val="0"/>
        <w:spacing w:line="460" w:lineRule="exac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3.2适用法律和法规</w:t>
      </w:r>
    </w:p>
    <w:p w14:paraId="154A8385">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需要明示的法律、行政法规：</w:t>
      </w:r>
      <w:r>
        <w:rPr>
          <w:rFonts w:hint="eastAsia" w:ascii="宋体" w:hAnsi="宋体" w:eastAsia="宋体" w:cs="宋体"/>
          <w:b/>
          <w:color w:val="auto"/>
          <w:sz w:val="24"/>
          <w:highlight w:val="none"/>
          <w:u w:val="single"/>
        </w:rPr>
        <w:t>《中华人民共和国民法典》、《中华人民共和国建筑法》、《建设工程质量管理条例》、《建设工程安全生产管理条例》</w:t>
      </w:r>
      <w:r>
        <w:rPr>
          <w:rFonts w:hint="eastAsia" w:ascii="宋体" w:hAnsi="宋体" w:eastAsia="宋体" w:cs="宋体"/>
          <w:color w:val="auto"/>
          <w:sz w:val="24"/>
          <w:highlight w:val="none"/>
          <w:u w:val="single"/>
        </w:rPr>
        <w:t>、</w:t>
      </w:r>
      <w:r>
        <w:rPr>
          <w:rFonts w:hint="eastAsia" w:ascii="宋体" w:hAnsi="宋体" w:eastAsia="宋体" w:cs="宋体"/>
          <w:b/>
          <w:color w:val="auto"/>
          <w:sz w:val="24"/>
          <w:highlight w:val="none"/>
          <w:u w:val="single"/>
        </w:rPr>
        <w:t>《建筑工程质量保修办法》、陕西省及</w:t>
      </w:r>
      <w:r>
        <w:rPr>
          <w:rFonts w:hint="eastAsia" w:ascii="宋体" w:hAnsi="宋体" w:eastAsia="宋体" w:cs="宋体"/>
          <w:b/>
          <w:color w:val="auto"/>
          <w:sz w:val="24"/>
          <w:highlight w:val="none"/>
          <w:u w:val="single"/>
          <w:lang w:eastAsia="zh-CN"/>
        </w:rPr>
        <w:t>渭南市</w:t>
      </w:r>
      <w:r>
        <w:rPr>
          <w:rFonts w:hint="eastAsia" w:ascii="宋体" w:hAnsi="宋体" w:eastAsia="宋体" w:cs="宋体"/>
          <w:b/>
          <w:color w:val="auto"/>
          <w:sz w:val="24"/>
          <w:highlight w:val="none"/>
          <w:u w:val="single"/>
        </w:rPr>
        <w:t xml:space="preserve">建设行政主管部门有关基本建设的相关规定等。 </w:t>
      </w:r>
    </w:p>
    <w:p w14:paraId="14E2C2E3">
      <w:pPr>
        <w:pageBreakBefore w:val="0"/>
        <w:kinsoku/>
        <w:wordWrap/>
        <w:overflowPunct/>
        <w:topLinePunct w:val="0"/>
        <w:autoSpaceDE/>
        <w:autoSpaceDN/>
        <w:bidi w:val="0"/>
        <w:spacing w:line="460" w:lineRule="exac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3.3适用标准、规范</w:t>
      </w:r>
    </w:p>
    <w:p w14:paraId="2E980BBE">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适用标准、规范的名称：</w:t>
      </w:r>
    </w:p>
    <w:p w14:paraId="64ACF6D8">
      <w:pPr>
        <w:pageBreakBefore w:val="0"/>
        <w:kinsoku/>
        <w:wordWrap/>
        <w:overflowPunct/>
        <w:topLinePunct w:val="0"/>
        <w:autoSpaceDE/>
        <w:autoSpaceDN/>
        <w:bidi w:val="0"/>
        <w:spacing w:line="460" w:lineRule="exact"/>
        <w:ind w:firstLine="482" w:firstLineChars="200"/>
        <w:textAlignment w:val="auto"/>
        <w:rPr>
          <w:rFonts w:hint="eastAsia" w:ascii="宋体" w:hAnsi="宋体" w:eastAsia="宋体" w:cs="宋体"/>
          <w:b/>
          <w:color w:val="auto"/>
          <w:sz w:val="24"/>
          <w:highlight w:val="none"/>
          <w:u w:val="single"/>
        </w:rPr>
      </w:pPr>
      <w:r>
        <w:rPr>
          <w:rFonts w:hint="eastAsia" w:ascii="宋体" w:hAnsi="宋体" w:eastAsia="宋体" w:cs="宋体"/>
          <w:b/>
          <w:color w:val="auto"/>
          <w:sz w:val="24"/>
          <w:highlight w:val="none"/>
          <w:u w:val="single"/>
        </w:rPr>
        <w:t>执行各项施工质量验收规范标准以及材料、设备所涉及的现行国家、省、市或行业的工程建设标准、规范的要求。</w:t>
      </w:r>
    </w:p>
    <w:p w14:paraId="477D340C">
      <w:pPr>
        <w:pageBreakBefore w:val="0"/>
        <w:kinsoku/>
        <w:wordWrap/>
        <w:overflowPunct/>
        <w:topLinePunct w:val="0"/>
        <w:autoSpaceDE/>
        <w:autoSpaceDN/>
        <w:bidi w:val="0"/>
        <w:spacing w:line="460" w:lineRule="exac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发包人提供标准、规范的时间：</w:t>
      </w:r>
    </w:p>
    <w:p w14:paraId="73A74ACB">
      <w:pPr>
        <w:pageBreakBefore w:val="0"/>
        <w:kinsoku/>
        <w:wordWrap/>
        <w:overflowPunct/>
        <w:topLinePunct w:val="0"/>
        <w:autoSpaceDE/>
        <w:autoSpaceDN/>
        <w:bidi w:val="0"/>
        <w:spacing w:line="460" w:lineRule="exact"/>
        <w:ind w:firstLine="480"/>
        <w:textAlignment w:val="auto"/>
        <w:rPr>
          <w:rFonts w:hint="eastAsia" w:ascii="宋体" w:hAnsi="宋体" w:eastAsia="宋体" w:cs="宋体"/>
          <w:b/>
          <w:color w:val="auto"/>
          <w:sz w:val="24"/>
          <w:highlight w:val="none"/>
          <w:u w:val="single"/>
        </w:rPr>
      </w:pPr>
      <w:r>
        <w:rPr>
          <w:rFonts w:hint="eastAsia" w:ascii="宋体" w:hAnsi="宋体" w:eastAsia="宋体" w:cs="宋体"/>
          <w:b/>
          <w:color w:val="auto"/>
          <w:sz w:val="24"/>
          <w:highlight w:val="none"/>
          <w:u w:val="single"/>
        </w:rPr>
        <w:t xml:space="preserve">除施工图纸外所有标准、规范、规程及标准图集等均由承包人自备，发包人不予提供,费用承包人自理。 </w:t>
      </w:r>
    </w:p>
    <w:p w14:paraId="25831AEA">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b/>
          <w:color w:val="auto"/>
          <w:sz w:val="24"/>
          <w:highlight w:val="none"/>
          <w:u w:val="single"/>
        </w:rPr>
      </w:pPr>
      <w:r>
        <w:rPr>
          <w:rFonts w:hint="eastAsia" w:ascii="宋体" w:hAnsi="宋体" w:eastAsia="宋体" w:cs="宋体"/>
          <w:color w:val="auto"/>
          <w:sz w:val="24"/>
          <w:highlight w:val="none"/>
        </w:rPr>
        <w:t xml:space="preserve">国内没有相应标准、规范时的约定：                                                                                                                                    </w:t>
      </w:r>
    </w:p>
    <w:p w14:paraId="0D1A1965">
      <w:pPr>
        <w:pageBreakBefore w:val="0"/>
        <w:kinsoku/>
        <w:wordWrap/>
        <w:overflowPunct/>
        <w:topLinePunct w:val="0"/>
        <w:autoSpaceDE/>
        <w:autoSpaceDN/>
        <w:bidi w:val="0"/>
        <w:spacing w:line="460" w:lineRule="exact"/>
        <w:textAlignment w:val="auto"/>
        <w:rPr>
          <w:rFonts w:hint="eastAsia" w:ascii="宋体" w:hAnsi="宋体" w:eastAsia="宋体" w:cs="宋体"/>
          <w:b/>
          <w:color w:val="auto"/>
          <w:sz w:val="24"/>
          <w:highlight w:val="none"/>
          <w:u w:val="single"/>
        </w:rPr>
      </w:pPr>
      <w:r>
        <w:rPr>
          <w:rFonts w:hint="eastAsia" w:ascii="宋体" w:hAnsi="宋体" w:eastAsia="宋体" w:cs="宋体"/>
          <w:color w:val="auto"/>
          <w:sz w:val="24"/>
          <w:highlight w:val="none"/>
        </w:rPr>
        <w:t xml:space="preserve">    </w:t>
      </w:r>
      <w:r>
        <w:rPr>
          <w:rFonts w:hint="eastAsia" w:ascii="宋体" w:hAnsi="宋体" w:eastAsia="宋体" w:cs="宋体"/>
          <w:b/>
          <w:color w:val="auto"/>
          <w:sz w:val="24"/>
          <w:highlight w:val="none"/>
          <w:u w:val="single"/>
        </w:rPr>
        <w:t>按生产企业在技术监督局的备案标准、并经监理工程师和业主同意。</w:t>
      </w:r>
    </w:p>
    <w:p w14:paraId="30EF33F3">
      <w:pPr>
        <w:pageBreakBefore w:val="0"/>
        <w:kinsoku/>
        <w:wordWrap/>
        <w:overflowPunct/>
        <w:topLinePunct w:val="0"/>
        <w:autoSpaceDE/>
        <w:autoSpaceDN/>
        <w:bidi w:val="0"/>
        <w:spacing w:line="460" w:lineRule="exact"/>
        <w:textAlignment w:val="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4、图纸</w:t>
      </w:r>
    </w:p>
    <w:p w14:paraId="4227DDB0">
      <w:pPr>
        <w:pageBreakBefore w:val="0"/>
        <w:kinsoku/>
        <w:wordWrap/>
        <w:overflowPunct/>
        <w:topLinePunct w:val="0"/>
        <w:autoSpaceDE/>
        <w:autoSpaceDN/>
        <w:bidi w:val="0"/>
        <w:spacing w:line="460" w:lineRule="exact"/>
        <w:textAlignment w:val="auto"/>
        <w:rPr>
          <w:rFonts w:hint="eastAsia" w:ascii="宋体" w:hAnsi="宋体" w:eastAsia="宋体" w:cs="宋体"/>
          <w:b/>
          <w:color w:val="auto"/>
          <w:sz w:val="24"/>
          <w:highlight w:val="none"/>
          <w:u w:val="single"/>
        </w:rPr>
      </w:pPr>
      <w:r>
        <w:rPr>
          <w:rFonts w:hint="eastAsia" w:ascii="宋体" w:hAnsi="宋体" w:eastAsia="宋体" w:cs="宋体"/>
          <w:color w:val="auto"/>
          <w:sz w:val="24"/>
          <w:highlight w:val="none"/>
        </w:rPr>
        <w:t>4.1发包人向承包人提供图纸日期和套数：</w:t>
      </w:r>
      <w:r>
        <w:rPr>
          <w:rFonts w:hint="eastAsia" w:ascii="宋体" w:hAnsi="宋体" w:eastAsia="宋体" w:cs="宋体"/>
          <w:b/>
          <w:color w:val="auto"/>
          <w:sz w:val="24"/>
          <w:highlight w:val="none"/>
          <w:u w:val="single"/>
        </w:rPr>
        <w:t xml:space="preserve">/。 </w:t>
      </w:r>
    </w:p>
    <w:p w14:paraId="404AC78B">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b/>
          <w:color w:val="auto"/>
          <w:sz w:val="24"/>
          <w:highlight w:val="none"/>
          <w:u w:val="single"/>
        </w:rPr>
      </w:pPr>
      <w:r>
        <w:rPr>
          <w:rFonts w:hint="eastAsia" w:ascii="宋体" w:hAnsi="宋体" w:eastAsia="宋体" w:cs="宋体"/>
          <w:color w:val="auto"/>
          <w:sz w:val="24"/>
          <w:highlight w:val="none"/>
        </w:rPr>
        <w:t>发包人对图纸的保密要求：</w:t>
      </w:r>
      <w:r>
        <w:rPr>
          <w:rFonts w:hint="eastAsia" w:ascii="宋体" w:hAnsi="宋体" w:eastAsia="宋体" w:cs="宋体"/>
          <w:b/>
          <w:color w:val="auto"/>
          <w:sz w:val="24"/>
          <w:highlight w:val="none"/>
          <w:u w:val="single"/>
        </w:rPr>
        <w:t>对本工程资料进行保密，竣工时承包人除用于工程资料备档外，其余有关工程资料全部返还给发包人。</w:t>
      </w:r>
    </w:p>
    <w:p w14:paraId="1CD8A371">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使用国外图纸的要求及费用承担：</w:t>
      </w:r>
      <w:r>
        <w:rPr>
          <w:rFonts w:hint="eastAsia" w:ascii="宋体" w:hAnsi="宋体" w:eastAsia="宋体" w:cs="宋体"/>
          <w:color w:val="auto"/>
          <w:sz w:val="24"/>
          <w:highlight w:val="none"/>
          <w:u w:val="single"/>
        </w:rPr>
        <w:t xml:space="preserve"> </w:t>
      </w:r>
      <w:r>
        <w:rPr>
          <w:rFonts w:hint="eastAsia" w:ascii="宋体" w:hAnsi="宋体" w:eastAsia="宋体" w:cs="宋体"/>
          <w:b/>
          <w:color w:val="auto"/>
          <w:sz w:val="24"/>
          <w:highlight w:val="none"/>
          <w:u w:val="single"/>
        </w:rPr>
        <w:t xml:space="preserve">无 </w:t>
      </w:r>
    </w:p>
    <w:p w14:paraId="76A653C9">
      <w:pPr>
        <w:pageBreakBefore w:val="0"/>
        <w:kinsoku/>
        <w:wordWrap/>
        <w:overflowPunct/>
        <w:topLinePunct w:val="0"/>
        <w:autoSpaceDE/>
        <w:autoSpaceDN/>
        <w:bidi w:val="0"/>
        <w:spacing w:line="460" w:lineRule="exact"/>
        <w:textAlignment w:val="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二、双方一般权利和义务</w:t>
      </w:r>
    </w:p>
    <w:p w14:paraId="28541ECB">
      <w:pPr>
        <w:pageBreakBefore w:val="0"/>
        <w:kinsoku/>
        <w:wordWrap/>
        <w:overflowPunct/>
        <w:topLinePunct w:val="0"/>
        <w:autoSpaceDE/>
        <w:autoSpaceDN/>
        <w:bidi w:val="0"/>
        <w:spacing w:line="460" w:lineRule="exact"/>
        <w:textAlignment w:val="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5、工程师</w:t>
      </w:r>
    </w:p>
    <w:p w14:paraId="737B781E">
      <w:pPr>
        <w:pageBreakBefore w:val="0"/>
        <w:kinsoku/>
        <w:wordWrap/>
        <w:overflowPunct/>
        <w:topLinePunct w:val="0"/>
        <w:autoSpaceDE/>
        <w:autoSpaceDN/>
        <w:bidi w:val="0"/>
        <w:spacing w:line="460" w:lineRule="exac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5.3发包人派驻的工程师</w:t>
      </w:r>
    </w:p>
    <w:p w14:paraId="713E4BA7">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姓名：</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职务</w:t>
      </w:r>
      <w:r>
        <w:rPr>
          <w:rFonts w:hint="eastAsia" w:ascii="宋体" w:hAnsi="宋体" w:eastAsia="宋体" w:cs="宋体"/>
          <w:color w:val="auto"/>
          <w:sz w:val="24"/>
          <w:highlight w:val="none"/>
          <w:u w:val="single"/>
        </w:rPr>
        <w:t xml:space="preserve">： </w:t>
      </w:r>
      <w:r>
        <w:rPr>
          <w:rFonts w:hint="eastAsia" w:ascii="宋体" w:hAnsi="宋体" w:eastAsia="宋体" w:cs="宋体"/>
          <w:b/>
          <w:color w:val="auto"/>
          <w:sz w:val="24"/>
          <w:highlight w:val="none"/>
          <w:u w:val="single"/>
        </w:rPr>
        <w:t>发包人驻工地代表</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  </w:t>
      </w:r>
    </w:p>
    <w:p w14:paraId="48A91B52">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b/>
          <w:color w:val="auto"/>
          <w:sz w:val="24"/>
          <w:highlight w:val="none"/>
        </w:rPr>
      </w:pPr>
      <w:r>
        <w:rPr>
          <w:rFonts w:hint="eastAsia" w:ascii="宋体" w:hAnsi="宋体" w:eastAsia="宋体" w:cs="宋体"/>
          <w:color w:val="auto"/>
          <w:sz w:val="24"/>
          <w:highlight w:val="none"/>
        </w:rPr>
        <w:t>职权：</w:t>
      </w:r>
      <w:r>
        <w:rPr>
          <w:rFonts w:hint="eastAsia" w:ascii="宋体" w:hAnsi="宋体" w:eastAsia="宋体" w:cs="宋体"/>
          <w:b/>
          <w:color w:val="auto"/>
          <w:sz w:val="24"/>
          <w:highlight w:val="none"/>
          <w:u w:val="single"/>
        </w:rPr>
        <w:t>发包人派驻的工程师是发包单位现场代表，行使本工程建设工程施工合同所赋予的发包人职责。包括：现场施工、质量、安全，设计管理、组织协调、认可工程量，信息处理，工程进度付款的认证，工程现场签证、变更的认证及增加的工程量认证等其职权范围内的现场相关事务。</w:t>
      </w:r>
    </w:p>
    <w:p w14:paraId="035E1ACD">
      <w:pPr>
        <w:pageBreakBefore w:val="0"/>
        <w:kinsoku/>
        <w:wordWrap/>
        <w:overflowPunct/>
        <w:topLinePunct w:val="0"/>
        <w:autoSpaceDE/>
        <w:autoSpaceDN/>
        <w:bidi w:val="0"/>
        <w:spacing w:line="460" w:lineRule="exact"/>
        <w:textAlignment w:val="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6、工程师的委派和指令</w:t>
      </w:r>
    </w:p>
    <w:p w14:paraId="2B2BA13E">
      <w:pPr>
        <w:pageBreakBefore w:val="0"/>
        <w:kinsoku/>
        <w:wordWrap/>
        <w:overflowPunct/>
        <w:topLinePunct w:val="0"/>
        <w:autoSpaceDE/>
        <w:autoSpaceDN/>
        <w:bidi w:val="0"/>
        <w:spacing w:line="460" w:lineRule="exact"/>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6.5工程师在按本合同要求做出决定、同意，或批准，或确定价值(作价)，或处理涉及发包人和承包人的权利和义务事项时，应该根据合同条款规定，考虑各方情况，实事求是和公正地做出判断并经受检查。如发现有不当之处，应进行修正。</w:t>
      </w:r>
    </w:p>
    <w:p w14:paraId="52DC631A">
      <w:pPr>
        <w:pageBreakBefore w:val="0"/>
        <w:kinsoku/>
        <w:wordWrap/>
        <w:overflowPunct/>
        <w:topLinePunct w:val="0"/>
        <w:autoSpaceDE/>
        <w:autoSpaceDN/>
        <w:bidi w:val="0"/>
        <w:spacing w:line="460" w:lineRule="exact"/>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6.6 工程师对承包人提交的函件的认可或批准并不改变承包人对实施合同工程的责任和义务。</w:t>
      </w:r>
    </w:p>
    <w:p w14:paraId="525A4AB4">
      <w:pPr>
        <w:pageBreakBefore w:val="0"/>
        <w:widowControl/>
        <w:kinsoku/>
        <w:wordWrap/>
        <w:overflowPunct/>
        <w:topLinePunct w:val="0"/>
        <w:autoSpaceDE/>
        <w:autoSpaceDN/>
        <w:bidi w:val="0"/>
        <w:spacing w:line="460" w:lineRule="exact"/>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6.7在合同实施期间，合同双方的一切联系、通知均应以书面材料为准。</w:t>
      </w:r>
    </w:p>
    <w:p w14:paraId="60267078">
      <w:pPr>
        <w:pageBreakBefore w:val="0"/>
        <w:widowControl/>
        <w:kinsoku/>
        <w:wordWrap/>
        <w:overflowPunct/>
        <w:topLinePunct w:val="0"/>
        <w:autoSpaceDE/>
        <w:autoSpaceDN/>
        <w:bidi w:val="0"/>
        <w:spacing w:line="460" w:lineRule="exact"/>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6.8由于某种原因，发包人或监理工程师(职权范围内)认为有必要发出口头通知时，承包人应该遵照执行。此后发包人或监理工程师仍应以书面形式将上述口头通知予以确认。</w:t>
      </w:r>
    </w:p>
    <w:p w14:paraId="30F862EF">
      <w:pPr>
        <w:pageBreakBefore w:val="0"/>
        <w:kinsoku/>
        <w:wordWrap/>
        <w:overflowPunct/>
        <w:topLinePunct w:val="0"/>
        <w:autoSpaceDE/>
        <w:autoSpaceDN/>
        <w:bidi w:val="0"/>
        <w:spacing w:line="460" w:lineRule="exact"/>
        <w:textAlignment w:val="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7、项目经理</w:t>
      </w:r>
    </w:p>
    <w:p w14:paraId="51FA4861">
      <w:pPr>
        <w:pageBreakBefore w:val="0"/>
        <w:kinsoku/>
        <w:wordWrap/>
        <w:overflowPunct/>
        <w:topLinePunct w:val="0"/>
        <w:autoSpaceDE/>
        <w:autoSpaceDN/>
        <w:bidi w:val="0"/>
        <w:spacing w:line="460" w:lineRule="exact"/>
        <w:textAlignment w:val="auto"/>
        <w:rPr>
          <w:rFonts w:hint="eastAsia" w:ascii="宋体" w:hAnsi="宋体" w:eastAsia="宋体" w:cs="宋体"/>
          <w:b/>
          <w:color w:val="auto"/>
          <w:sz w:val="24"/>
          <w:highlight w:val="none"/>
          <w:u w:val="single"/>
        </w:rPr>
      </w:pPr>
      <w:r>
        <w:rPr>
          <w:rFonts w:hint="eastAsia" w:ascii="宋体" w:hAnsi="宋体" w:eastAsia="宋体" w:cs="宋体"/>
          <w:color w:val="auto"/>
          <w:sz w:val="24"/>
          <w:highlight w:val="none"/>
        </w:rPr>
        <w:t xml:space="preserve">   姓名：</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职务：</w:t>
      </w:r>
      <w:r>
        <w:rPr>
          <w:rFonts w:hint="eastAsia" w:ascii="宋体" w:hAnsi="宋体" w:eastAsia="宋体" w:cs="宋体"/>
          <w:color w:val="auto"/>
          <w:sz w:val="24"/>
          <w:highlight w:val="none"/>
          <w:u w:val="single"/>
        </w:rPr>
        <w:t xml:space="preserve"> </w:t>
      </w:r>
      <w:r>
        <w:rPr>
          <w:rFonts w:hint="eastAsia" w:ascii="宋体" w:hAnsi="宋体" w:eastAsia="宋体" w:cs="宋体"/>
          <w:b/>
          <w:color w:val="auto"/>
          <w:sz w:val="24"/>
          <w:highlight w:val="none"/>
          <w:u w:val="single"/>
        </w:rPr>
        <w:t>项目经理</w:t>
      </w:r>
      <w:r>
        <w:rPr>
          <w:rFonts w:hint="eastAsia" w:ascii="宋体" w:hAnsi="宋体" w:eastAsia="宋体" w:cs="宋体"/>
          <w:color w:val="auto"/>
          <w:sz w:val="24"/>
          <w:highlight w:val="none"/>
          <w:u w:val="single"/>
        </w:rPr>
        <w:t xml:space="preserve">  </w:t>
      </w:r>
      <w:r>
        <w:rPr>
          <w:rFonts w:hint="eastAsia" w:ascii="宋体" w:hAnsi="宋体" w:eastAsia="宋体" w:cs="宋体"/>
          <w:b/>
          <w:color w:val="auto"/>
          <w:sz w:val="24"/>
          <w:highlight w:val="none"/>
          <w:u w:val="single"/>
        </w:rPr>
        <w:t xml:space="preserve">   </w:t>
      </w:r>
      <w:r>
        <w:rPr>
          <w:rFonts w:hint="eastAsia" w:ascii="宋体" w:hAnsi="宋体" w:eastAsia="宋体" w:cs="宋体"/>
          <w:b/>
          <w:color w:val="auto"/>
          <w:sz w:val="24"/>
          <w:highlight w:val="none"/>
        </w:rPr>
        <w:t xml:space="preserve"> </w:t>
      </w:r>
      <w:r>
        <w:rPr>
          <w:rFonts w:hint="eastAsia" w:ascii="宋体" w:hAnsi="宋体" w:eastAsia="宋体" w:cs="宋体"/>
          <w:color w:val="auto"/>
          <w:sz w:val="24"/>
          <w:highlight w:val="none"/>
        </w:rPr>
        <w:t>证书编号：</w:t>
      </w:r>
      <w:r>
        <w:rPr>
          <w:rFonts w:hint="eastAsia" w:ascii="宋体" w:hAnsi="宋体" w:eastAsia="宋体" w:cs="宋体"/>
          <w:b/>
          <w:color w:val="auto"/>
          <w:sz w:val="24"/>
          <w:highlight w:val="none"/>
          <w:u w:val="single"/>
        </w:rPr>
        <w:t xml:space="preserve">           </w:t>
      </w:r>
    </w:p>
    <w:p w14:paraId="39EE30DF">
      <w:pPr>
        <w:pageBreakBefore w:val="0"/>
        <w:kinsoku/>
        <w:wordWrap/>
        <w:overflowPunct/>
        <w:topLinePunct w:val="0"/>
        <w:autoSpaceDE/>
        <w:autoSpaceDN/>
        <w:bidi w:val="0"/>
        <w:spacing w:line="460" w:lineRule="exac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7.1.1 项目经理为承包人书面委派常驻现场负责执行本合同和管理本合同工程的代表。凡本合同执行中的有关技术、工程进度、现场管理、质量检验、结算与支付等方面工作，由其代表承包人全面负责。</w:t>
      </w:r>
    </w:p>
    <w:p w14:paraId="47FFB93F">
      <w:pPr>
        <w:pageBreakBefore w:val="0"/>
        <w:kinsoku/>
        <w:wordWrap/>
        <w:overflowPunct/>
        <w:topLinePunct w:val="0"/>
        <w:autoSpaceDE/>
        <w:autoSpaceDN/>
        <w:bidi w:val="0"/>
        <w:spacing w:line="460" w:lineRule="exac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7.1.2 承包人应按响应文件附表所报名单委派项目经理、技术负责人及其他管理人员承担本合同工程的管理，并保持其岗位的相对稳定，不得另行承担其他工程项目的管理工作，项目经理应在接到中标书后5天内到位，否则视为违约。</w:t>
      </w:r>
    </w:p>
    <w:p w14:paraId="2B35EA25">
      <w:pPr>
        <w:pageBreakBefore w:val="0"/>
        <w:kinsoku/>
        <w:wordWrap/>
        <w:overflowPunct/>
        <w:topLinePunct w:val="0"/>
        <w:autoSpaceDE/>
        <w:autoSpaceDN/>
        <w:bidi w:val="0"/>
        <w:spacing w:line="460" w:lineRule="exac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7.1.3 项目经理可委派有关具体管理人员，承担部分权利和职责。委派人员如有权签证，则需项目经理的书面通知发包人代表和总监理工程师，明确其权限和范围。</w:t>
      </w:r>
    </w:p>
    <w:p w14:paraId="1755DBC0">
      <w:pPr>
        <w:pageBreakBefore w:val="0"/>
        <w:kinsoku/>
        <w:wordWrap/>
        <w:overflowPunct/>
        <w:topLinePunct w:val="0"/>
        <w:autoSpaceDE/>
        <w:autoSpaceDN/>
        <w:bidi w:val="0"/>
        <w:spacing w:line="460" w:lineRule="exac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7.1.4 项目经理不得将下列工作委托其他管理人员：</w:t>
      </w:r>
    </w:p>
    <w:p w14:paraId="0E0C4DE8">
      <w:pPr>
        <w:pageBreakBefore w:val="0"/>
        <w:kinsoku/>
        <w:wordWrap/>
        <w:overflowPunct/>
        <w:topLinePunct w:val="0"/>
        <w:autoSpaceDE/>
        <w:autoSpaceDN/>
        <w:bidi w:val="0"/>
        <w:spacing w:line="460" w:lineRule="exact"/>
        <w:ind w:firstLine="42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(1)主持编制施工组织设计、工程进度计划以及主要项目施工方法；</w:t>
      </w:r>
    </w:p>
    <w:p w14:paraId="184FF1A2">
      <w:pPr>
        <w:pageBreakBefore w:val="0"/>
        <w:kinsoku/>
        <w:wordWrap/>
        <w:overflowPunct/>
        <w:topLinePunct w:val="0"/>
        <w:autoSpaceDE/>
        <w:autoSpaceDN/>
        <w:bidi w:val="0"/>
        <w:spacing w:line="460" w:lineRule="exact"/>
        <w:ind w:firstLine="42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(2)签署工程开工、复工报告、工程款支付申请、工程竣工报验单；</w:t>
      </w:r>
    </w:p>
    <w:p w14:paraId="0F502E95">
      <w:pPr>
        <w:pageBreakBefore w:val="0"/>
        <w:kinsoku/>
        <w:wordWrap/>
        <w:overflowPunct/>
        <w:topLinePunct w:val="0"/>
        <w:autoSpaceDE/>
        <w:autoSpaceDN/>
        <w:bidi w:val="0"/>
        <w:spacing w:line="460" w:lineRule="exact"/>
        <w:ind w:firstLine="42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(3)签署确认竣工结算、签署竣工文件；</w:t>
      </w:r>
    </w:p>
    <w:p w14:paraId="57063A86">
      <w:pPr>
        <w:pageBreakBefore w:val="0"/>
        <w:kinsoku/>
        <w:wordWrap/>
        <w:overflowPunct/>
        <w:topLinePunct w:val="0"/>
        <w:autoSpaceDE/>
        <w:autoSpaceDN/>
        <w:bidi w:val="0"/>
        <w:spacing w:line="460" w:lineRule="exact"/>
        <w:ind w:firstLine="42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(4)调解合同争议、处理索赔，申请工程延期；</w:t>
      </w:r>
    </w:p>
    <w:p w14:paraId="5DEA88B3">
      <w:pPr>
        <w:pageBreakBefore w:val="0"/>
        <w:widowControl/>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(5)根据工程项目的进展情况进行项目管理人员调配，调换不称职的管理人员。</w:t>
      </w:r>
    </w:p>
    <w:p w14:paraId="23742A89">
      <w:pPr>
        <w:pageBreakBefore w:val="0"/>
        <w:kinsoku/>
        <w:wordWrap/>
        <w:overflowPunct/>
        <w:topLinePunct w:val="0"/>
        <w:autoSpaceDE/>
        <w:autoSpaceDN/>
        <w:bidi w:val="0"/>
        <w:spacing w:line="460" w:lineRule="exact"/>
        <w:textAlignment w:val="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8、发包人工作</w:t>
      </w:r>
    </w:p>
    <w:p w14:paraId="11CA35E6">
      <w:pPr>
        <w:pageBreakBefore w:val="0"/>
        <w:kinsoku/>
        <w:wordWrap/>
        <w:overflowPunct/>
        <w:topLinePunct w:val="0"/>
        <w:autoSpaceDE/>
        <w:autoSpaceDN/>
        <w:bidi w:val="0"/>
        <w:spacing w:line="460" w:lineRule="exac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8.1发包人应按约定的时间和要求完成以下工作：</w:t>
      </w:r>
    </w:p>
    <w:p w14:paraId="6FDD42F5">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b/>
          <w:color w:val="auto"/>
          <w:kern w:val="0"/>
          <w:sz w:val="24"/>
          <w:highlight w:val="none"/>
          <w:u w:val="single"/>
        </w:rPr>
      </w:pPr>
      <w:r>
        <w:rPr>
          <w:rFonts w:hint="eastAsia" w:ascii="宋体" w:hAnsi="宋体" w:eastAsia="宋体" w:cs="宋体"/>
          <w:color w:val="auto"/>
          <w:sz w:val="24"/>
          <w:highlight w:val="none"/>
        </w:rPr>
        <w:t>（1）施工场地具备施工条件的要求及完成的时间：</w:t>
      </w:r>
      <w:r>
        <w:rPr>
          <w:rFonts w:hint="eastAsia" w:ascii="宋体" w:hAnsi="宋体" w:eastAsia="宋体" w:cs="宋体"/>
          <w:b/>
          <w:color w:val="auto"/>
          <w:kern w:val="0"/>
          <w:sz w:val="24"/>
          <w:highlight w:val="none"/>
          <w:u w:val="single"/>
        </w:rPr>
        <w:t>工程开工前2日内</w:t>
      </w:r>
    </w:p>
    <w:p w14:paraId="32A6FDED">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b/>
          <w:color w:val="auto"/>
          <w:sz w:val="24"/>
          <w:highlight w:val="none"/>
          <w:u w:val="single"/>
        </w:rPr>
      </w:pPr>
      <w:r>
        <w:rPr>
          <w:rFonts w:hint="eastAsia" w:ascii="宋体" w:hAnsi="宋体" w:eastAsia="宋体" w:cs="宋体"/>
          <w:color w:val="auto"/>
          <w:sz w:val="24"/>
          <w:highlight w:val="none"/>
        </w:rPr>
        <w:t>（2）将施工所需的水、电、电讯线路接至施工场地的时间、地点和供应要求</w:t>
      </w:r>
      <w:r>
        <w:rPr>
          <w:rFonts w:hint="eastAsia" w:ascii="宋体" w:hAnsi="宋体" w:eastAsia="宋体" w:cs="宋体"/>
          <w:color w:val="auto"/>
          <w:sz w:val="24"/>
          <w:highlight w:val="none"/>
          <w:u w:val="single"/>
        </w:rPr>
        <w:t xml:space="preserve"> </w:t>
      </w:r>
      <w:r>
        <w:rPr>
          <w:rFonts w:hint="eastAsia" w:ascii="宋体" w:hAnsi="宋体" w:eastAsia="宋体" w:cs="宋体"/>
          <w:b/>
          <w:color w:val="auto"/>
          <w:sz w:val="24"/>
          <w:highlight w:val="none"/>
          <w:u w:val="single"/>
        </w:rPr>
        <w:t xml:space="preserve">               </w:t>
      </w:r>
    </w:p>
    <w:p w14:paraId="409B1913">
      <w:pPr>
        <w:pageBreakBefore w:val="0"/>
        <w:widowControl/>
        <w:kinsoku/>
        <w:wordWrap/>
        <w:overflowPunct/>
        <w:topLinePunct w:val="0"/>
        <w:autoSpaceDE/>
        <w:autoSpaceDN/>
        <w:bidi w:val="0"/>
        <w:spacing w:line="460" w:lineRule="exact"/>
        <w:ind w:firstLine="480" w:firstLineChars="200"/>
        <w:textAlignment w:val="auto"/>
        <w:rPr>
          <w:rFonts w:hint="eastAsia" w:ascii="宋体" w:hAnsi="宋体" w:eastAsia="宋体" w:cs="宋体"/>
          <w:b/>
          <w:color w:val="auto"/>
          <w:sz w:val="24"/>
          <w:highlight w:val="none"/>
          <w:u w:val="single"/>
        </w:rPr>
      </w:pPr>
      <w:r>
        <w:rPr>
          <w:rFonts w:hint="eastAsia" w:ascii="宋体" w:hAnsi="宋体" w:eastAsia="宋体" w:cs="宋体"/>
          <w:color w:val="auto"/>
          <w:kern w:val="0"/>
          <w:sz w:val="24"/>
          <w:highlight w:val="none"/>
        </w:rPr>
        <w:t>其计量和计价方法为</w:t>
      </w:r>
      <w:r>
        <w:rPr>
          <w:rFonts w:hint="eastAsia" w:ascii="宋体" w:hAnsi="宋体" w:eastAsia="宋体" w:cs="宋体"/>
          <w:b/>
          <w:color w:val="auto"/>
          <w:sz w:val="24"/>
          <w:highlight w:val="none"/>
          <w:u w:val="single"/>
        </w:rPr>
        <w:t xml:space="preserve">按月向发包人按市场单价乘表耗量（加损耗分摊量）计算交纳水、电费；由承包人自行安装水、电表及表后线路，通讯线路及设备由承包人自行解决。 </w:t>
      </w:r>
    </w:p>
    <w:p w14:paraId="05743948">
      <w:pPr>
        <w:pageBreakBefore w:val="0"/>
        <w:widowControl/>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（3）施工场地与公共道路的通道开通时间和要求：</w:t>
      </w:r>
      <w:r>
        <w:rPr>
          <w:rFonts w:hint="eastAsia" w:ascii="宋体" w:hAnsi="宋体" w:eastAsia="宋体" w:cs="宋体"/>
          <w:b/>
          <w:color w:val="auto"/>
          <w:sz w:val="24"/>
          <w:highlight w:val="none"/>
          <w:u w:val="single"/>
        </w:rPr>
        <w:t xml:space="preserve">施工场地与公共交通为现状，如不能满足施工需要，由承包人自行处理解决。如因特殊客观原因确实需另行修建进场便道，由承包人提出，发包人同意后可据实结算。 </w:t>
      </w:r>
    </w:p>
    <w:p w14:paraId="1018BAF7">
      <w:pPr>
        <w:pageBreakBefore w:val="0"/>
        <w:kinsoku/>
        <w:wordWrap/>
        <w:overflowPunct/>
        <w:topLinePunct w:val="0"/>
        <w:autoSpaceDE/>
        <w:autoSpaceDN/>
        <w:bidi w:val="0"/>
        <w:spacing w:line="460" w:lineRule="exact"/>
        <w:textAlignment w:val="auto"/>
        <w:rPr>
          <w:rFonts w:hint="eastAsia" w:ascii="宋体" w:hAnsi="宋体" w:eastAsia="宋体" w:cs="宋体"/>
          <w:b/>
          <w:color w:val="auto"/>
          <w:sz w:val="24"/>
          <w:highlight w:val="none"/>
        </w:rPr>
      </w:pPr>
      <w:r>
        <w:rPr>
          <w:rFonts w:hint="eastAsia" w:ascii="宋体" w:hAnsi="宋体" w:eastAsia="宋体" w:cs="宋体"/>
          <w:color w:val="auto"/>
          <w:sz w:val="24"/>
          <w:highlight w:val="none"/>
        </w:rPr>
        <w:t xml:space="preserve">    （4）工程地质资料的提供时间：</w:t>
      </w:r>
      <w:r>
        <w:rPr>
          <w:rFonts w:hint="eastAsia" w:ascii="宋体" w:hAnsi="宋体" w:eastAsia="宋体" w:cs="宋体"/>
          <w:b/>
          <w:color w:val="auto"/>
          <w:sz w:val="24"/>
          <w:highlight w:val="none"/>
          <w:u w:val="single"/>
        </w:rPr>
        <w:t>无。</w:t>
      </w:r>
    </w:p>
    <w:p w14:paraId="2204B6EE">
      <w:pPr>
        <w:pageBreakBefore w:val="0"/>
        <w:kinsoku/>
        <w:wordWrap/>
        <w:overflowPunct/>
        <w:topLinePunct w:val="0"/>
        <w:autoSpaceDE/>
        <w:autoSpaceDN/>
        <w:bidi w:val="0"/>
        <w:spacing w:line="460" w:lineRule="exact"/>
        <w:ind w:firstLine="240" w:firstLineChars="100"/>
        <w:textAlignment w:val="auto"/>
        <w:rPr>
          <w:rFonts w:hint="eastAsia" w:ascii="宋体" w:hAnsi="宋体" w:eastAsia="宋体" w:cs="宋体"/>
          <w:b/>
          <w:color w:val="auto"/>
          <w:kern w:val="0"/>
          <w:sz w:val="24"/>
          <w:highlight w:val="none"/>
          <w:u w:val="single"/>
        </w:rPr>
      </w:pPr>
      <w:r>
        <w:rPr>
          <w:rFonts w:hint="eastAsia" w:ascii="宋体" w:hAnsi="宋体" w:eastAsia="宋体" w:cs="宋体"/>
          <w:color w:val="auto"/>
          <w:sz w:val="24"/>
          <w:highlight w:val="none"/>
        </w:rPr>
        <w:t xml:space="preserve">  （5）由发包人办理的施工所需证件、批件的名称和完成时间：</w:t>
      </w:r>
      <w:r>
        <w:rPr>
          <w:rFonts w:hint="eastAsia" w:ascii="宋体" w:hAnsi="宋体" w:eastAsia="宋体" w:cs="宋体"/>
          <w:b/>
          <w:color w:val="auto"/>
          <w:kern w:val="0"/>
          <w:sz w:val="24"/>
          <w:highlight w:val="none"/>
          <w:u w:val="single"/>
        </w:rPr>
        <w:t>执行《通用条款》。</w:t>
      </w:r>
    </w:p>
    <w:p w14:paraId="2EBCA3A5">
      <w:pPr>
        <w:pageBreakBefore w:val="0"/>
        <w:kinsoku/>
        <w:wordWrap/>
        <w:overflowPunct/>
        <w:topLinePunct w:val="0"/>
        <w:autoSpaceDE/>
        <w:autoSpaceDN/>
        <w:bidi w:val="0"/>
        <w:spacing w:line="460" w:lineRule="exact"/>
        <w:textAlignment w:val="auto"/>
        <w:rPr>
          <w:rFonts w:hint="eastAsia" w:ascii="宋体" w:hAnsi="宋体" w:eastAsia="宋体" w:cs="宋体"/>
          <w:b/>
          <w:color w:val="auto"/>
          <w:sz w:val="24"/>
          <w:highlight w:val="none"/>
          <w:u w:val="single"/>
        </w:rPr>
      </w:pPr>
      <w:r>
        <w:rPr>
          <w:rFonts w:hint="eastAsia" w:ascii="宋体" w:hAnsi="宋体" w:eastAsia="宋体" w:cs="宋体"/>
          <w:color w:val="auto"/>
          <w:sz w:val="24"/>
          <w:highlight w:val="none"/>
        </w:rPr>
        <w:t xml:space="preserve">    （6）水准点与座标控制点交验要求：</w:t>
      </w:r>
      <w:r>
        <w:rPr>
          <w:rFonts w:hint="eastAsia" w:ascii="宋体" w:hAnsi="宋体" w:eastAsia="宋体" w:cs="宋体"/>
          <w:b/>
          <w:color w:val="auto"/>
          <w:sz w:val="24"/>
          <w:highlight w:val="none"/>
          <w:u w:val="single"/>
        </w:rPr>
        <w:t xml:space="preserve">无 </w:t>
      </w:r>
    </w:p>
    <w:p w14:paraId="65CE5C92">
      <w:pPr>
        <w:pageBreakBefore w:val="0"/>
        <w:kinsoku/>
        <w:wordWrap/>
        <w:overflowPunct/>
        <w:topLinePunct w:val="0"/>
        <w:autoSpaceDE/>
        <w:autoSpaceDN/>
        <w:bidi w:val="0"/>
        <w:spacing w:line="460" w:lineRule="exact"/>
        <w:ind w:firstLine="240" w:firstLineChars="100"/>
        <w:textAlignment w:val="auto"/>
        <w:rPr>
          <w:rFonts w:hint="eastAsia" w:ascii="宋体" w:hAnsi="宋体" w:eastAsia="宋体" w:cs="宋体"/>
          <w:b/>
          <w:color w:val="auto"/>
          <w:sz w:val="24"/>
          <w:highlight w:val="none"/>
          <w:u w:val="single"/>
        </w:rPr>
      </w:pPr>
      <w:r>
        <w:rPr>
          <w:rFonts w:hint="eastAsia" w:ascii="宋体" w:hAnsi="宋体" w:eastAsia="宋体" w:cs="宋体"/>
          <w:color w:val="auto"/>
          <w:sz w:val="24"/>
          <w:highlight w:val="none"/>
        </w:rPr>
        <w:t xml:space="preserve">  （7）图纸会审和设计交底时间：</w:t>
      </w:r>
      <w:r>
        <w:rPr>
          <w:rFonts w:hint="eastAsia" w:ascii="宋体" w:hAnsi="宋体" w:eastAsia="宋体" w:cs="宋体"/>
          <w:b/>
          <w:color w:val="auto"/>
          <w:sz w:val="24"/>
          <w:highlight w:val="none"/>
          <w:u w:val="single"/>
        </w:rPr>
        <w:t>由发包人另行通知。</w:t>
      </w:r>
    </w:p>
    <w:p w14:paraId="0A62DBB1">
      <w:pPr>
        <w:pageBreakBefore w:val="0"/>
        <w:kinsoku/>
        <w:wordWrap/>
        <w:overflowPunct/>
        <w:topLinePunct w:val="0"/>
        <w:autoSpaceDE/>
        <w:autoSpaceDN/>
        <w:bidi w:val="0"/>
        <w:spacing w:line="460" w:lineRule="exact"/>
        <w:ind w:firstLine="360" w:firstLineChars="150"/>
        <w:textAlignment w:val="auto"/>
        <w:rPr>
          <w:rFonts w:hint="eastAsia" w:ascii="宋体" w:hAnsi="宋体" w:eastAsia="宋体" w:cs="宋体"/>
          <w:b/>
          <w:color w:val="auto"/>
          <w:sz w:val="24"/>
          <w:highlight w:val="none"/>
          <w:u w:val="single"/>
        </w:rPr>
      </w:pPr>
      <w:r>
        <w:rPr>
          <w:rFonts w:hint="eastAsia" w:ascii="宋体" w:hAnsi="宋体" w:eastAsia="宋体" w:cs="宋体"/>
          <w:color w:val="auto"/>
          <w:sz w:val="24"/>
          <w:highlight w:val="none"/>
        </w:rPr>
        <w:t xml:space="preserve"> （8）协调处理施工场地周围地下管线和邻近建筑物、构筑物（含文物保护建筑）、古树名木的保护工作：</w:t>
      </w:r>
      <w:r>
        <w:rPr>
          <w:rFonts w:hint="eastAsia" w:ascii="宋体" w:hAnsi="宋体" w:eastAsia="宋体" w:cs="宋体"/>
          <w:b/>
          <w:color w:val="auto"/>
          <w:sz w:val="24"/>
          <w:highlight w:val="none"/>
          <w:u w:val="single"/>
        </w:rPr>
        <w:t>无。</w:t>
      </w:r>
    </w:p>
    <w:p w14:paraId="6646F1CD">
      <w:pPr>
        <w:pageBreakBefore w:val="0"/>
        <w:kinsoku/>
        <w:wordWrap/>
        <w:overflowPunct/>
        <w:topLinePunct w:val="0"/>
        <w:autoSpaceDE/>
        <w:autoSpaceDN/>
        <w:bidi w:val="0"/>
        <w:spacing w:line="460" w:lineRule="exact"/>
        <w:ind w:firstLine="470" w:firstLineChars="196"/>
        <w:textAlignment w:val="auto"/>
        <w:rPr>
          <w:rFonts w:hint="eastAsia" w:ascii="宋体" w:hAnsi="宋体" w:eastAsia="宋体" w:cs="宋体"/>
          <w:b/>
          <w:color w:val="auto"/>
          <w:kern w:val="0"/>
          <w:sz w:val="24"/>
          <w:highlight w:val="none"/>
          <w:u w:val="single"/>
        </w:rPr>
      </w:pPr>
      <w:r>
        <w:rPr>
          <w:rFonts w:hint="eastAsia" w:ascii="宋体" w:hAnsi="宋体" w:eastAsia="宋体" w:cs="宋体"/>
          <w:color w:val="auto"/>
          <w:sz w:val="24"/>
          <w:highlight w:val="none"/>
        </w:rPr>
        <w:t>（9）</w:t>
      </w:r>
      <w:r>
        <w:rPr>
          <w:rFonts w:hint="eastAsia" w:ascii="宋体" w:hAnsi="宋体" w:eastAsia="宋体" w:cs="宋体"/>
          <w:color w:val="auto"/>
          <w:kern w:val="0"/>
          <w:sz w:val="24"/>
          <w:highlight w:val="none"/>
        </w:rPr>
        <w:t>双方约定发包人应做的其他工作</w:t>
      </w:r>
      <w:r>
        <w:rPr>
          <w:rFonts w:hint="eastAsia" w:ascii="宋体" w:hAnsi="宋体" w:eastAsia="宋体" w:cs="宋体"/>
          <w:color w:val="auto"/>
          <w:spacing w:val="-14"/>
          <w:sz w:val="24"/>
          <w:highlight w:val="none"/>
        </w:rPr>
        <w:t>：</w:t>
      </w:r>
      <w:r>
        <w:rPr>
          <w:rFonts w:hint="eastAsia" w:ascii="宋体" w:hAnsi="宋体" w:eastAsia="宋体" w:cs="宋体"/>
          <w:color w:val="auto"/>
          <w:spacing w:val="-14"/>
          <w:sz w:val="24"/>
          <w:highlight w:val="none"/>
          <w:u w:val="single"/>
        </w:rPr>
        <w:t xml:space="preserve"> </w:t>
      </w:r>
      <w:r>
        <w:rPr>
          <w:rFonts w:hint="eastAsia" w:ascii="宋体" w:hAnsi="宋体" w:eastAsia="宋体" w:cs="宋体"/>
          <w:b/>
          <w:color w:val="auto"/>
          <w:kern w:val="0"/>
          <w:sz w:val="24"/>
          <w:highlight w:val="none"/>
          <w:u w:val="single"/>
        </w:rPr>
        <w:t xml:space="preserve">暂无 </w:t>
      </w:r>
    </w:p>
    <w:p w14:paraId="0C93502C">
      <w:pPr>
        <w:pageBreakBefore w:val="0"/>
        <w:kinsoku/>
        <w:wordWrap/>
        <w:overflowPunct/>
        <w:topLinePunct w:val="0"/>
        <w:autoSpaceDE/>
        <w:autoSpaceDN/>
        <w:bidi w:val="0"/>
        <w:spacing w:line="460" w:lineRule="exact"/>
        <w:ind w:firstLine="470" w:firstLineChars="196"/>
        <w:textAlignment w:val="auto"/>
        <w:rPr>
          <w:rFonts w:hint="eastAsia" w:ascii="宋体" w:hAnsi="宋体" w:eastAsia="宋体" w:cs="宋体"/>
          <w:color w:val="auto"/>
          <w:kern w:val="0"/>
          <w:sz w:val="24"/>
          <w:highlight w:val="none"/>
          <w:u w:val="single"/>
        </w:rPr>
      </w:pPr>
      <w:r>
        <w:rPr>
          <w:rFonts w:hint="eastAsia" w:ascii="宋体" w:hAnsi="宋体" w:eastAsia="宋体" w:cs="宋体"/>
          <w:color w:val="auto"/>
          <w:kern w:val="0"/>
          <w:sz w:val="24"/>
          <w:highlight w:val="none"/>
        </w:rPr>
        <w:t>8.2发包人委托承包人办理的工作：</w:t>
      </w:r>
      <w:r>
        <w:rPr>
          <w:rFonts w:hint="eastAsia" w:ascii="宋体" w:hAnsi="宋体" w:eastAsia="宋体" w:cs="宋体"/>
          <w:b/>
          <w:color w:val="auto"/>
          <w:kern w:val="0"/>
          <w:sz w:val="24"/>
          <w:highlight w:val="none"/>
          <w:u w:val="single"/>
        </w:rPr>
        <w:t>暂无</w:t>
      </w:r>
    </w:p>
    <w:p w14:paraId="50CD6F98">
      <w:pPr>
        <w:pageBreakBefore w:val="0"/>
        <w:kinsoku/>
        <w:wordWrap/>
        <w:overflowPunct/>
        <w:topLinePunct w:val="0"/>
        <w:autoSpaceDE/>
        <w:autoSpaceDN/>
        <w:bidi w:val="0"/>
        <w:spacing w:line="460" w:lineRule="exact"/>
        <w:textAlignment w:val="auto"/>
        <w:rPr>
          <w:rFonts w:hint="eastAsia" w:ascii="宋体" w:hAnsi="宋体" w:eastAsia="宋体" w:cs="宋体"/>
          <w:color w:val="auto"/>
          <w:sz w:val="24"/>
          <w:highlight w:val="none"/>
        </w:rPr>
      </w:pPr>
      <w:r>
        <w:rPr>
          <w:rFonts w:hint="eastAsia" w:ascii="宋体" w:hAnsi="宋体" w:eastAsia="宋体" w:cs="宋体"/>
          <w:b/>
          <w:color w:val="auto"/>
          <w:sz w:val="24"/>
          <w:highlight w:val="none"/>
        </w:rPr>
        <w:t xml:space="preserve">9、承包人工作 </w:t>
      </w:r>
      <w:r>
        <w:rPr>
          <w:rFonts w:hint="eastAsia" w:ascii="宋体" w:hAnsi="宋体" w:eastAsia="宋体" w:cs="宋体"/>
          <w:color w:val="auto"/>
          <w:sz w:val="24"/>
          <w:highlight w:val="none"/>
        </w:rPr>
        <w:t xml:space="preserve">                                                                                                                                  </w:t>
      </w:r>
    </w:p>
    <w:p w14:paraId="04C1DBBF">
      <w:pPr>
        <w:pageBreakBefore w:val="0"/>
        <w:kinsoku/>
        <w:wordWrap/>
        <w:overflowPunct/>
        <w:topLinePunct w:val="0"/>
        <w:autoSpaceDE/>
        <w:autoSpaceDN/>
        <w:bidi w:val="0"/>
        <w:spacing w:line="460" w:lineRule="exac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9.1承包人应按约定时间和要求，完成以下工作：</w:t>
      </w:r>
    </w:p>
    <w:p w14:paraId="734D9677">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（1）需由设计资质等级和业务范围允许的承包人完成的设计文件提交时间：</w:t>
      </w:r>
      <w:r>
        <w:rPr>
          <w:rFonts w:hint="eastAsia" w:ascii="宋体" w:hAnsi="宋体" w:eastAsia="宋体" w:cs="宋体"/>
          <w:b/>
          <w:color w:val="auto"/>
          <w:sz w:val="24"/>
          <w:highlight w:val="none"/>
          <w:u w:val="single"/>
        </w:rPr>
        <w:t xml:space="preserve">若有发生，承包人应按发包人确定的时间提交，并承担由此发生的设计费用。 </w:t>
      </w:r>
    </w:p>
    <w:p w14:paraId="541C2D2D">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（2）应提供计划、报表的名称及完成时间：                                                                                                                                   </w:t>
      </w:r>
    </w:p>
    <w:p w14:paraId="1E065C8D">
      <w:pPr>
        <w:pageBreakBefore w:val="0"/>
        <w:kinsoku/>
        <w:wordWrap/>
        <w:overflowPunct/>
        <w:topLinePunct w:val="0"/>
        <w:autoSpaceDE/>
        <w:autoSpaceDN/>
        <w:bidi w:val="0"/>
        <w:spacing w:line="460" w:lineRule="exact"/>
        <w:ind w:firstLine="482" w:firstLineChars="200"/>
        <w:textAlignment w:val="auto"/>
        <w:rPr>
          <w:rFonts w:hint="eastAsia" w:ascii="宋体" w:hAnsi="宋体" w:eastAsia="宋体" w:cs="宋体"/>
          <w:b/>
          <w:color w:val="auto"/>
          <w:sz w:val="24"/>
          <w:highlight w:val="none"/>
          <w:u w:val="single"/>
        </w:rPr>
      </w:pPr>
      <w:r>
        <w:rPr>
          <w:rFonts w:hint="eastAsia" w:ascii="宋体" w:hAnsi="宋体" w:eastAsia="宋体" w:cs="宋体"/>
          <w:b/>
          <w:color w:val="auto"/>
          <w:sz w:val="24"/>
          <w:highlight w:val="none"/>
        </w:rPr>
        <w:t>①、</w:t>
      </w:r>
      <w:r>
        <w:rPr>
          <w:rFonts w:hint="eastAsia" w:ascii="宋体" w:hAnsi="宋体" w:eastAsia="宋体" w:cs="宋体"/>
          <w:b/>
          <w:color w:val="auto"/>
          <w:sz w:val="24"/>
          <w:highlight w:val="none"/>
          <w:u w:val="single"/>
        </w:rPr>
        <w:t>合同签订后十天内，承包人须向发包人提供施工总进度计划及资金使用计划壹式肆份；</w:t>
      </w:r>
    </w:p>
    <w:p w14:paraId="5DAA9987">
      <w:pPr>
        <w:pageBreakBefore w:val="0"/>
        <w:kinsoku/>
        <w:wordWrap/>
        <w:overflowPunct/>
        <w:topLinePunct w:val="0"/>
        <w:autoSpaceDE/>
        <w:autoSpaceDN/>
        <w:bidi w:val="0"/>
        <w:spacing w:line="460" w:lineRule="exact"/>
        <w:ind w:firstLine="472" w:firstLineChars="196"/>
        <w:jc w:val="left"/>
        <w:textAlignment w:val="auto"/>
        <w:rPr>
          <w:rFonts w:hint="eastAsia" w:ascii="宋体" w:hAnsi="宋体" w:eastAsia="宋体" w:cs="宋体"/>
          <w:b/>
          <w:color w:val="auto"/>
          <w:sz w:val="24"/>
          <w:highlight w:val="none"/>
          <w:u w:val="single"/>
        </w:rPr>
      </w:pPr>
      <w:r>
        <w:rPr>
          <w:rFonts w:hint="eastAsia" w:ascii="宋体" w:hAnsi="宋体" w:eastAsia="宋体" w:cs="宋体"/>
          <w:b/>
          <w:color w:val="auto"/>
          <w:sz w:val="24"/>
          <w:highlight w:val="none"/>
        </w:rPr>
        <w:t>②、</w:t>
      </w:r>
      <w:r>
        <w:rPr>
          <w:rFonts w:hint="eastAsia" w:ascii="宋体" w:hAnsi="宋体" w:eastAsia="宋体" w:cs="宋体"/>
          <w:b/>
          <w:color w:val="auto"/>
          <w:sz w:val="24"/>
          <w:highlight w:val="none"/>
          <w:u w:val="single"/>
        </w:rPr>
        <w:t xml:space="preserve">每周五上午9：00时前向监理人及发包人报送上周施工周报及本周进度计划表各壹式两份。 </w:t>
      </w:r>
    </w:p>
    <w:p w14:paraId="3223A6D1">
      <w:pPr>
        <w:pageBreakBefore w:val="0"/>
        <w:kinsoku/>
        <w:wordWrap/>
        <w:overflowPunct/>
        <w:topLinePunct w:val="0"/>
        <w:autoSpaceDE/>
        <w:autoSpaceDN/>
        <w:bidi w:val="0"/>
        <w:spacing w:line="460" w:lineRule="exact"/>
        <w:ind w:firstLine="472" w:firstLineChars="196"/>
        <w:jc w:val="left"/>
        <w:textAlignment w:val="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③、</w:t>
      </w:r>
      <w:r>
        <w:rPr>
          <w:rFonts w:hint="eastAsia" w:ascii="宋体" w:hAnsi="宋体" w:eastAsia="宋体" w:cs="宋体"/>
          <w:b/>
          <w:color w:val="auto"/>
          <w:sz w:val="24"/>
          <w:highlight w:val="none"/>
          <w:u w:val="single"/>
        </w:rPr>
        <w:t xml:space="preserve">开工后10天内提交发包方供应材料设备需求总计划。 </w:t>
      </w:r>
    </w:p>
    <w:p w14:paraId="6A0A0B9F">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（3）承担施工安全保卫工作及非夜间施工照明的责任和要求：</w:t>
      </w:r>
    </w:p>
    <w:p w14:paraId="7896E65B">
      <w:pPr>
        <w:pageBreakBefore w:val="0"/>
        <w:kinsoku/>
        <w:wordWrap/>
        <w:overflowPunct/>
        <w:topLinePunct w:val="0"/>
        <w:autoSpaceDE/>
        <w:autoSpaceDN/>
        <w:bidi w:val="0"/>
        <w:spacing w:line="460" w:lineRule="exact"/>
        <w:ind w:firstLine="542" w:firstLineChars="225"/>
        <w:jc w:val="left"/>
        <w:textAlignment w:val="auto"/>
        <w:rPr>
          <w:rFonts w:hint="eastAsia" w:ascii="宋体" w:hAnsi="宋体" w:eastAsia="宋体" w:cs="宋体"/>
          <w:b/>
          <w:color w:val="auto"/>
          <w:sz w:val="24"/>
          <w:highlight w:val="none"/>
        </w:rPr>
      </w:pPr>
      <w:r>
        <w:rPr>
          <w:rFonts w:hint="eastAsia" w:ascii="宋体" w:hAnsi="宋体" w:eastAsia="宋体" w:cs="宋体"/>
          <w:b/>
          <w:color w:val="auto"/>
          <w:sz w:val="24"/>
          <w:highlight w:val="none"/>
          <w:u w:val="single"/>
        </w:rPr>
        <w:t xml:space="preserve">在工程实施过程中，承包人应对其承包范围内的所有现场操作的稳定性和安全负全部责任，并且应对施工现场的所有人员进行安全管理和充分重视。应保持施工现场和施工过程井然有序，避免发生人身事故。为了保护工程或为了公众及其他人员的安全及方便，在必要的时间和地点，或在有关主管单位提出要求时，承包人应以自己的费用提供并维修所有的照明、护栏、围墙、警告标志及守卫设施。采取一切合理措施，保护工地及工地周围的环境，避免污染、噪音、排放或由于其施工方法的不当造成的对公共人员和财产等的危害或干扰。按国家、省、市有关政策文件执行，需满足非夜间施工照明的需要，发生费用自负。   </w:t>
      </w:r>
    </w:p>
    <w:p w14:paraId="3BEE2274">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b/>
          <w:color w:val="auto"/>
          <w:sz w:val="24"/>
          <w:highlight w:val="none"/>
          <w:u w:val="single"/>
        </w:rPr>
      </w:pPr>
      <w:r>
        <w:rPr>
          <w:rFonts w:hint="eastAsia" w:ascii="宋体" w:hAnsi="宋体" w:eastAsia="宋体" w:cs="宋体"/>
          <w:color w:val="auto"/>
          <w:sz w:val="24"/>
          <w:highlight w:val="none"/>
        </w:rPr>
        <w:t>（4）向发包人提供的办公和生活房屋及设施的要求：</w:t>
      </w:r>
      <w:r>
        <w:rPr>
          <w:rFonts w:hint="eastAsia" w:ascii="宋体" w:hAnsi="宋体" w:eastAsia="宋体" w:cs="宋体"/>
          <w:b/>
          <w:color w:val="auto"/>
          <w:sz w:val="24"/>
          <w:highlight w:val="none"/>
          <w:u w:val="single"/>
        </w:rPr>
        <w:t xml:space="preserve">/. </w:t>
      </w:r>
    </w:p>
    <w:p w14:paraId="2EF0004A">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（5）需承包人办理的有关施工场地交通、环卫和施工噪音管理等手续：</w:t>
      </w:r>
    </w:p>
    <w:p w14:paraId="1E0DF1DB">
      <w:pPr>
        <w:pageBreakBefore w:val="0"/>
        <w:kinsoku/>
        <w:wordWrap/>
        <w:overflowPunct/>
        <w:topLinePunct w:val="0"/>
        <w:autoSpaceDE/>
        <w:autoSpaceDN/>
        <w:bidi w:val="0"/>
        <w:spacing w:line="460" w:lineRule="exact"/>
        <w:ind w:firstLine="482" w:firstLineChars="200"/>
        <w:textAlignment w:val="auto"/>
        <w:rPr>
          <w:rFonts w:hint="eastAsia" w:ascii="宋体" w:hAnsi="宋体" w:eastAsia="宋体" w:cs="宋体"/>
          <w:b/>
          <w:color w:val="auto"/>
          <w:sz w:val="24"/>
          <w:highlight w:val="none"/>
          <w:u w:val="single"/>
        </w:rPr>
      </w:pPr>
      <w:r>
        <w:rPr>
          <w:rFonts w:hint="eastAsia" w:ascii="宋体" w:hAnsi="宋体" w:eastAsia="宋体" w:cs="宋体"/>
          <w:b/>
          <w:color w:val="auto"/>
          <w:sz w:val="24"/>
          <w:highlight w:val="none"/>
          <w:u w:val="single"/>
        </w:rPr>
        <w:t xml:space="preserve">承包人应在施工前主动办理有关施工场地交通、环卫、违法违规占道和施工噪音管理、治污减霾等手续，并承担相关费用（如果有），该项费用已含在合同总价中。承包人如因手续不全施工而被有关部门处罚，自行承担相关的罚款。 </w:t>
      </w:r>
    </w:p>
    <w:p w14:paraId="6866E13D">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（6）已完工程成品保护的特殊要求及费用承担：                                         </w:t>
      </w:r>
    </w:p>
    <w:p w14:paraId="79D9313F">
      <w:pPr>
        <w:pageBreakBefore w:val="0"/>
        <w:widowControl/>
        <w:kinsoku/>
        <w:wordWrap/>
        <w:overflowPunct/>
        <w:topLinePunct w:val="0"/>
        <w:autoSpaceDE/>
        <w:autoSpaceDN/>
        <w:bidi w:val="0"/>
        <w:spacing w:line="460" w:lineRule="exact"/>
        <w:ind w:firstLine="482" w:firstLineChars="200"/>
        <w:textAlignment w:val="auto"/>
        <w:rPr>
          <w:rFonts w:hint="eastAsia" w:ascii="宋体" w:hAnsi="宋体" w:eastAsia="宋体" w:cs="宋体"/>
          <w:b/>
          <w:color w:val="auto"/>
          <w:sz w:val="24"/>
          <w:highlight w:val="none"/>
          <w:u w:val="single"/>
        </w:rPr>
      </w:pPr>
      <w:r>
        <w:rPr>
          <w:rFonts w:hint="eastAsia" w:ascii="宋体" w:hAnsi="宋体" w:eastAsia="宋体" w:cs="宋体"/>
          <w:b/>
          <w:color w:val="auto"/>
          <w:sz w:val="24"/>
          <w:highlight w:val="none"/>
          <w:u w:val="single"/>
        </w:rPr>
        <w:t>在工程已竣工但未正式向发包人移交前，承包人应当负责对已完工程的保护工作（包括发包人对工程某些特殊部位和部分设施、设备保护提出的特殊要求）。在此期间发生的损坏由承包人自费负责予以修复。</w:t>
      </w:r>
    </w:p>
    <w:p w14:paraId="4031DD2A">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b/>
          <w:color w:val="auto"/>
          <w:sz w:val="24"/>
          <w:highlight w:val="none"/>
        </w:rPr>
      </w:pPr>
      <w:r>
        <w:rPr>
          <w:rFonts w:hint="eastAsia" w:ascii="宋体" w:hAnsi="宋体" w:eastAsia="宋体" w:cs="宋体"/>
          <w:color w:val="auto"/>
          <w:sz w:val="24"/>
          <w:highlight w:val="none"/>
        </w:rPr>
        <w:t>（7）施工场地周围地下管线和邻近建筑物、构筑物（含文物保护建筑）、古树名木的保护要求及费用承担：</w:t>
      </w:r>
      <w:r>
        <w:rPr>
          <w:rFonts w:hint="eastAsia" w:ascii="宋体" w:hAnsi="宋体" w:eastAsia="宋体" w:cs="宋体"/>
          <w:b/>
          <w:color w:val="auto"/>
          <w:sz w:val="24"/>
          <w:highlight w:val="none"/>
          <w:u w:val="single"/>
        </w:rPr>
        <w:t>无。</w:t>
      </w:r>
      <w:r>
        <w:rPr>
          <w:rFonts w:hint="eastAsia" w:ascii="宋体" w:hAnsi="宋体" w:eastAsia="宋体" w:cs="宋体"/>
          <w:b/>
          <w:color w:val="auto"/>
          <w:sz w:val="24"/>
          <w:highlight w:val="none"/>
        </w:rPr>
        <w:t xml:space="preserve">                                          </w:t>
      </w:r>
    </w:p>
    <w:p w14:paraId="38BFBD12">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b/>
          <w:color w:val="auto"/>
          <w:sz w:val="24"/>
          <w:highlight w:val="none"/>
          <w:u w:val="single"/>
        </w:rPr>
      </w:pPr>
      <w:r>
        <w:rPr>
          <w:rFonts w:hint="eastAsia" w:ascii="宋体" w:hAnsi="宋体" w:eastAsia="宋体" w:cs="宋体"/>
          <w:color w:val="auto"/>
          <w:sz w:val="24"/>
          <w:highlight w:val="none"/>
        </w:rPr>
        <w:t>（8）施工扬尘防治及场地清洁卫生的要求：</w:t>
      </w:r>
      <w:r>
        <w:rPr>
          <w:rFonts w:hint="eastAsia" w:ascii="宋体" w:hAnsi="宋体" w:eastAsia="宋体" w:cs="宋体"/>
          <w:b/>
          <w:color w:val="auto"/>
          <w:sz w:val="24"/>
          <w:highlight w:val="none"/>
          <w:u w:val="single"/>
        </w:rPr>
        <w:t>在施工期间，承包人应随时保持现场整洁，施工装备和材料、设备应妥善存放和贮存，废料、垃圾和不再需要的临时设施应从现场清除，拆除并运走。平整施工场地由承包人承担。</w:t>
      </w:r>
    </w:p>
    <w:p w14:paraId="69B2A308">
      <w:pPr>
        <w:pageBreakBefore w:val="0"/>
        <w:kinsoku/>
        <w:wordWrap/>
        <w:overflowPunct/>
        <w:topLinePunct w:val="0"/>
        <w:autoSpaceDE/>
        <w:autoSpaceDN/>
        <w:bidi w:val="0"/>
        <w:spacing w:line="460" w:lineRule="exact"/>
        <w:ind w:firstLine="482" w:firstLineChars="200"/>
        <w:textAlignment w:val="auto"/>
        <w:rPr>
          <w:rFonts w:hint="eastAsia" w:ascii="宋体" w:hAnsi="宋体" w:eastAsia="宋体" w:cs="宋体"/>
          <w:b/>
          <w:color w:val="auto"/>
          <w:sz w:val="24"/>
          <w:highlight w:val="none"/>
          <w:u w:val="single"/>
        </w:rPr>
      </w:pPr>
      <w:r>
        <w:rPr>
          <w:rFonts w:hint="eastAsia" w:ascii="宋体" w:hAnsi="宋体" w:eastAsia="宋体" w:cs="宋体"/>
          <w:b/>
          <w:color w:val="auto"/>
          <w:sz w:val="24"/>
          <w:highlight w:val="none"/>
          <w:u w:val="single"/>
        </w:rPr>
        <w:t>在交工时，承包人应从现场清除并运出承包人装备、剩余材料、垃圾和各种临时设施，并保持整个现场及工程整洁，达到发包人满意的使用状态。如果承包人未在发包人允许的合理时间内完成上述工作，则发包人可以：</w:t>
      </w:r>
    </w:p>
    <w:p w14:paraId="5312C61A">
      <w:pPr>
        <w:pageBreakBefore w:val="0"/>
        <w:kinsoku/>
        <w:wordWrap/>
        <w:overflowPunct/>
        <w:topLinePunct w:val="0"/>
        <w:autoSpaceDE/>
        <w:autoSpaceDN/>
        <w:bidi w:val="0"/>
        <w:spacing w:line="460" w:lineRule="exact"/>
        <w:ind w:firstLine="472" w:firstLineChars="196"/>
        <w:textAlignment w:val="auto"/>
        <w:rPr>
          <w:rFonts w:hint="eastAsia" w:ascii="宋体" w:hAnsi="宋体" w:eastAsia="宋体" w:cs="宋体"/>
          <w:b/>
          <w:color w:val="auto"/>
          <w:sz w:val="24"/>
          <w:highlight w:val="none"/>
          <w:u w:val="single"/>
        </w:rPr>
      </w:pPr>
      <w:r>
        <w:rPr>
          <w:rFonts w:hint="eastAsia" w:ascii="宋体" w:hAnsi="宋体" w:eastAsia="宋体" w:cs="宋体"/>
          <w:b/>
          <w:color w:val="auto"/>
          <w:sz w:val="24"/>
          <w:highlight w:val="none"/>
          <w:u w:val="single"/>
        </w:rPr>
        <w:t>(a) 委托他人将承包人装备、剩余材料及承包人的其他财产另选地方停放；</w:t>
      </w:r>
    </w:p>
    <w:p w14:paraId="76E3721B">
      <w:pPr>
        <w:pageBreakBefore w:val="0"/>
        <w:kinsoku/>
        <w:wordWrap/>
        <w:overflowPunct/>
        <w:topLinePunct w:val="0"/>
        <w:autoSpaceDE/>
        <w:autoSpaceDN/>
        <w:bidi w:val="0"/>
        <w:spacing w:line="460" w:lineRule="exact"/>
        <w:ind w:firstLine="472" w:firstLineChars="196"/>
        <w:textAlignment w:val="auto"/>
        <w:rPr>
          <w:rFonts w:hint="eastAsia" w:ascii="宋体" w:hAnsi="宋体" w:eastAsia="宋体" w:cs="宋体"/>
          <w:b/>
          <w:color w:val="auto"/>
          <w:sz w:val="24"/>
          <w:highlight w:val="none"/>
          <w:u w:val="single"/>
        </w:rPr>
      </w:pPr>
      <w:r>
        <w:rPr>
          <w:rFonts w:hint="eastAsia" w:ascii="宋体" w:hAnsi="宋体" w:eastAsia="宋体" w:cs="宋体"/>
          <w:b/>
          <w:color w:val="auto"/>
          <w:sz w:val="24"/>
          <w:highlight w:val="none"/>
          <w:u w:val="single"/>
        </w:rPr>
        <w:t>(b) 委托他人清除并运走垃圾、废料。</w:t>
      </w:r>
    </w:p>
    <w:p w14:paraId="60E625DD">
      <w:pPr>
        <w:pageBreakBefore w:val="0"/>
        <w:widowControl/>
        <w:kinsoku/>
        <w:wordWrap/>
        <w:overflowPunct/>
        <w:topLinePunct w:val="0"/>
        <w:autoSpaceDE/>
        <w:autoSpaceDN/>
        <w:bidi w:val="0"/>
        <w:spacing w:line="460" w:lineRule="exact"/>
        <w:ind w:firstLine="479" w:firstLineChars="199"/>
        <w:textAlignment w:val="auto"/>
        <w:rPr>
          <w:rFonts w:hint="eastAsia" w:ascii="宋体" w:hAnsi="宋体" w:eastAsia="宋体" w:cs="宋体"/>
          <w:b/>
          <w:color w:val="auto"/>
          <w:sz w:val="24"/>
          <w:highlight w:val="none"/>
          <w:u w:val="single"/>
        </w:rPr>
      </w:pPr>
      <w:r>
        <w:rPr>
          <w:rFonts w:hint="eastAsia" w:ascii="宋体" w:hAnsi="宋体" w:eastAsia="宋体" w:cs="宋体"/>
          <w:b/>
          <w:color w:val="auto"/>
          <w:sz w:val="24"/>
          <w:highlight w:val="none"/>
          <w:u w:val="single"/>
        </w:rPr>
        <w:t>因上述工作而发生的费用应由承包人承担，发包人可从应付承包人的任何款项内扣除，若不足时，发包人可出售承包人的财产用以抵补，或由发包人依照法律从承包人处收回。</w:t>
      </w:r>
    </w:p>
    <w:p w14:paraId="34935B66">
      <w:pPr>
        <w:pageBreakBefore w:val="0"/>
        <w:widowControl/>
        <w:kinsoku/>
        <w:wordWrap/>
        <w:overflowPunct/>
        <w:topLinePunct w:val="0"/>
        <w:autoSpaceDE/>
        <w:autoSpaceDN/>
        <w:bidi w:val="0"/>
        <w:spacing w:line="460" w:lineRule="exact"/>
        <w:ind w:firstLine="477" w:firstLineChars="199"/>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（9） 双方约定的承包人应做的其他工作：</w:t>
      </w:r>
    </w:p>
    <w:p w14:paraId="3665EABC">
      <w:pPr>
        <w:pageBreakBefore w:val="0"/>
        <w:widowControl/>
        <w:kinsoku/>
        <w:wordWrap/>
        <w:overflowPunct/>
        <w:topLinePunct w:val="0"/>
        <w:autoSpaceDE/>
        <w:autoSpaceDN/>
        <w:bidi w:val="0"/>
        <w:spacing w:line="460" w:lineRule="exact"/>
        <w:ind w:firstLine="479" w:firstLineChars="199"/>
        <w:textAlignment w:val="auto"/>
        <w:rPr>
          <w:rFonts w:hint="eastAsia" w:ascii="宋体" w:hAnsi="宋体" w:eastAsia="宋体" w:cs="宋体"/>
          <w:b/>
          <w:color w:val="auto"/>
          <w:sz w:val="24"/>
          <w:highlight w:val="none"/>
          <w:u w:val="single"/>
        </w:rPr>
      </w:pPr>
      <w:r>
        <w:rPr>
          <w:rFonts w:hint="eastAsia" w:ascii="宋体" w:hAnsi="宋体" w:eastAsia="宋体" w:cs="宋体"/>
          <w:b/>
          <w:color w:val="auto"/>
          <w:sz w:val="24"/>
          <w:highlight w:val="none"/>
          <w:u w:val="single"/>
        </w:rPr>
        <w:t xml:space="preserve"> A.项目经理每周在工地不得少于5天，少1天罚款1000元。外出3天以上必须取得总监和发包人的许可。</w:t>
      </w:r>
    </w:p>
    <w:p w14:paraId="4A5C6E55">
      <w:pPr>
        <w:pageBreakBefore w:val="0"/>
        <w:kinsoku/>
        <w:wordWrap/>
        <w:overflowPunct/>
        <w:topLinePunct w:val="0"/>
        <w:autoSpaceDE/>
        <w:autoSpaceDN/>
        <w:bidi w:val="0"/>
        <w:spacing w:line="460" w:lineRule="exact"/>
        <w:ind w:firstLine="472" w:firstLineChars="196"/>
        <w:jc w:val="left"/>
        <w:textAlignment w:val="auto"/>
        <w:rPr>
          <w:rFonts w:hint="eastAsia" w:ascii="宋体" w:hAnsi="宋体" w:eastAsia="宋体" w:cs="宋体"/>
          <w:b/>
          <w:color w:val="auto"/>
          <w:sz w:val="24"/>
          <w:highlight w:val="none"/>
          <w:u w:val="single"/>
        </w:rPr>
      </w:pPr>
      <w:r>
        <w:rPr>
          <w:rFonts w:hint="eastAsia" w:ascii="宋体" w:hAnsi="宋体" w:eastAsia="宋体" w:cs="宋体"/>
          <w:b/>
          <w:color w:val="auto"/>
          <w:sz w:val="24"/>
          <w:highlight w:val="none"/>
          <w:u w:val="single"/>
        </w:rPr>
        <w:t>B.工程所有的其他分包商（甲方指定）提供生产及生活条件。如材料堆放场地、办公用房（根据需要）生活用水用电（计量自行协商）施工用水用电接口（计量自行协商）、脚手架、垂直运输工具或通道、室外道路、门卫管理、现场保卫工作等。</w:t>
      </w:r>
    </w:p>
    <w:p w14:paraId="15138D14">
      <w:pPr>
        <w:pageBreakBefore w:val="0"/>
        <w:kinsoku/>
        <w:wordWrap/>
        <w:overflowPunct/>
        <w:topLinePunct w:val="0"/>
        <w:autoSpaceDE/>
        <w:autoSpaceDN/>
        <w:bidi w:val="0"/>
        <w:spacing w:line="460" w:lineRule="exact"/>
        <w:ind w:firstLine="472" w:firstLineChars="196"/>
        <w:jc w:val="left"/>
        <w:textAlignment w:val="auto"/>
        <w:rPr>
          <w:rFonts w:hint="eastAsia" w:ascii="宋体" w:hAnsi="宋体" w:eastAsia="宋体" w:cs="宋体"/>
          <w:b/>
          <w:color w:val="auto"/>
          <w:sz w:val="24"/>
          <w:highlight w:val="none"/>
          <w:u w:val="single"/>
        </w:rPr>
      </w:pPr>
      <w:r>
        <w:rPr>
          <w:rFonts w:hint="eastAsia" w:ascii="宋体" w:hAnsi="宋体" w:eastAsia="宋体" w:cs="宋体"/>
          <w:b/>
          <w:color w:val="auto"/>
          <w:sz w:val="24"/>
          <w:highlight w:val="none"/>
          <w:u w:val="single"/>
        </w:rPr>
        <w:t>C.指定专人协调上述施工单位文明施工方面的问题。</w:t>
      </w:r>
    </w:p>
    <w:p w14:paraId="6559A13B">
      <w:pPr>
        <w:pageBreakBefore w:val="0"/>
        <w:kinsoku/>
        <w:wordWrap/>
        <w:overflowPunct/>
        <w:topLinePunct w:val="0"/>
        <w:autoSpaceDE/>
        <w:autoSpaceDN/>
        <w:bidi w:val="0"/>
        <w:spacing w:line="460" w:lineRule="exact"/>
        <w:ind w:firstLine="472" w:firstLineChars="196"/>
        <w:jc w:val="left"/>
        <w:textAlignment w:val="auto"/>
        <w:rPr>
          <w:rFonts w:hint="eastAsia" w:ascii="宋体" w:hAnsi="宋体" w:eastAsia="宋体" w:cs="宋体"/>
          <w:b/>
          <w:color w:val="auto"/>
          <w:sz w:val="24"/>
          <w:highlight w:val="none"/>
          <w:u w:val="single"/>
        </w:rPr>
      </w:pPr>
      <w:r>
        <w:rPr>
          <w:rFonts w:hint="eastAsia" w:ascii="宋体" w:hAnsi="宋体" w:eastAsia="宋体" w:cs="宋体"/>
          <w:b/>
          <w:color w:val="auto"/>
          <w:sz w:val="24"/>
          <w:highlight w:val="none"/>
          <w:u w:val="single"/>
        </w:rPr>
        <w:t>D.负责本工程竣工资料汇编。</w:t>
      </w:r>
    </w:p>
    <w:p w14:paraId="75545519">
      <w:pPr>
        <w:pageBreakBefore w:val="0"/>
        <w:kinsoku/>
        <w:wordWrap/>
        <w:overflowPunct/>
        <w:topLinePunct w:val="0"/>
        <w:autoSpaceDE/>
        <w:autoSpaceDN/>
        <w:bidi w:val="0"/>
        <w:spacing w:line="460" w:lineRule="exact"/>
        <w:textAlignment w:val="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三、施工组织设计和工期</w:t>
      </w:r>
    </w:p>
    <w:p w14:paraId="7CD02EE8">
      <w:pPr>
        <w:pageBreakBefore w:val="0"/>
        <w:kinsoku/>
        <w:wordWrap/>
        <w:overflowPunct/>
        <w:topLinePunct w:val="0"/>
        <w:autoSpaceDE/>
        <w:autoSpaceDN/>
        <w:bidi w:val="0"/>
        <w:spacing w:line="460" w:lineRule="exact"/>
        <w:textAlignment w:val="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 xml:space="preserve">10、进度计划                                                                                                </w:t>
      </w:r>
    </w:p>
    <w:p w14:paraId="2569EA04">
      <w:pPr>
        <w:pageBreakBefore w:val="0"/>
        <w:kinsoku/>
        <w:wordWrap/>
        <w:overflowPunct/>
        <w:topLinePunct w:val="0"/>
        <w:autoSpaceDE/>
        <w:autoSpaceDN/>
        <w:bidi w:val="0"/>
        <w:spacing w:line="460" w:lineRule="exac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10.1承包人提供施工组织设计（施工方案）和进度计划的时间：</w:t>
      </w:r>
    </w:p>
    <w:p w14:paraId="3D4E33F2">
      <w:pPr>
        <w:pageBreakBefore w:val="0"/>
        <w:kinsoku/>
        <w:wordWrap/>
        <w:overflowPunct/>
        <w:topLinePunct w:val="0"/>
        <w:autoSpaceDE/>
        <w:autoSpaceDN/>
        <w:bidi w:val="0"/>
        <w:spacing w:line="460" w:lineRule="exact"/>
        <w:ind w:firstLine="472" w:firstLineChars="196"/>
        <w:textAlignment w:val="auto"/>
        <w:rPr>
          <w:rFonts w:hint="eastAsia" w:ascii="宋体" w:hAnsi="宋体" w:eastAsia="宋体" w:cs="宋体"/>
          <w:color w:val="auto"/>
          <w:sz w:val="24"/>
          <w:highlight w:val="none"/>
          <w:u w:val="single"/>
        </w:rPr>
      </w:pPr>
      <w:r>
        <w:rPr>
          <w:rFonts w:hint="eastAsia" w:ascii="宋体" w:hAnsi="宋体" w:eastAsia="宋体" w:cs="宋体"/>
          <w:b/>
          <w:color w:val="auto"/>
          <w:sz w:val="24"/>
          <w:highlight w:val="none"/>
          <w:u w:val="single"/>
        </w:rPr>
        <w:t>承包人应在合同协议书签订后14天内提交施工组织设计和进度计划。</w:t>
      </w:r>
      <w:r>
        <w:rPr>
          <w:rFonts w:hint="eastAsia" w:ascii="宋体" w:hAnsi="宋体" w:eastAsia="宋体" w:cs="宋体"/>
          <w:color w:val="auto"/>
          <w:sz w:val="24"/>
          <w:highlight w:val="none"/>
          <w:u w:val="single"/>
        </w:rPr>
        <w:t xml:space="preserve"> </w:t>
      </w:r>
    </w:p>
    <w:p w14:paraId="26881003">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工程师确认的时间：</w:t>
      </w:r>
      <w:r>
        <w:rPr>
          <w:rFonts w:hint="eastAsia" w:ascii="宋体" w:hAnsi="宋体" w:eastAsia="宋体" w:cs="宋体"/>
          <w:color w:val="auto"/>
          <w:sz w:val="24"/>
          <w:highlight w:val="none"/>
          <w:u w:val="single"/>
        </w:rPr>
        <w:t xml:space="preserve"> </w:t>
      </w:r>
      <w:r>
        <w:rPr>
          <w:rFonts w:hint="eastAsia" w:ascii="宋体" w:hAnsi="宋体" w:eastAsia="宋体" w:cs="宋体"/>
          <w:b/>
          <w:color w:val="auto"/>
          <w:sz w:val="24"/>
          <w:highlight w:val="none"/>
          <w:u w:val="single"/>
        </w:rPr>
        <w:t>接到相关文件后七天内审定确认或提出修改意见。</w:t>
      </w:r>
      <w:r>
        <w:rPr>
          <w:rFonts w:hint="eastAsia" w:ascii="宋体" w:hAnsi="宋体" w:eastAsia="宋体" w:cs="宋体"/>
          <w:color w:val="auto"/>
          <w:sz w:val="24"/>
          <w:highlight w:val="none"/>
        </w:rPr>
        <w:t xml:space="preserve"> </w:t>
      </w:r>
    </w:p>
    <w:p w14:paraId="0B6E3052">
      <w:pPr>
        <w:pageBreakBefore w:val="0"/>
        <w:kinsoku/>
        <w:wordWrap/>
        <w:overflowPunct/>
        <w:topLinePunct w:val="0"/>
        <w:autoSpaceDE/>
        <w:autoSpaceDN/>
        <w:bidi w:val="0"/>
        <w:spacing w:line="460" w:lineRule="exact"/>
        <w:textAlignment w:val="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10.2 群体工程中有关进度计划的要求：</w:t>
      </w:r>
      <w:r>
        <w:rPr>
          <w:rFonts w:hint="eastAsia" w:ascii="宋体" w:hAnsi="宋体" w:eastAsia="宋体" w:cs="宋体"/>
          <w:color w:val="auto"/>
          <w:sz w:val="24"/>
          <w:highlight w:val="none"/>
          <w:u w:val="single"/>
        </w:rPr>
        <w:t xml:space="preserve"> </w:t>
      </w:r>
      <w:r>
        <w:rPr>
          <w:rFonts w:hint="eastAsia" w:ascii="宋体" w:hAnsi="宋体" w:eastAsia="宋体" w:cs="宋体"/>
          <w:b/>
          <w:color w:val="auto"/>
          <w:sz w:val="24"/>
          <w:highlight w:val="none"/>
          <w:u w:val="single"/>
        </w:rPr>
        <w:t xml:space="preserve"> 无</w:t>
      </w:r>
      <w:r>
        <w:rPr>
          <w:rFonts w:hint="eastAsia" w:ascii="宋体" w:hAnsi="宋体" w:eastAsia="宋体" w:cs="宋体"/>
          <w:color w:val="auto"/>
          <w:sz w:val="24"/>
          <w:highlight w:val="none"/>
          <w:u w:val="single"/>
        </w:rPr>
        <w:t xml:space="preserve">. </w:t>
      </w:r>
    </w:p>
    <w:p w14:paraId="2FCFC890">
      <w:pPr>
        <w:pageBreakBefore w:val="0"/>
        <w:kinsoku/>
        <w:wordWrap/>
        <w:overflowPunct/>
        <w:topLinePunct w:val="0"/>
        <w:autoSpaceDE/>
        <w:autoSpaceDN/>
        <w:bidi w:val="0"/>
        <w:spacing w:line="460" w:lineRule="exact"/>
        <w:textAlignment w:val="auto"/>
        <w:rPr>
          <w:rFonts w:hint="eastAsia" w:ascii="宋体" w:hAnsi="宋体" w:eastAsia="宋体" w:cs="宋体"/>
          <w:color w:val="auto"/>
          <w:sz w:val="24"/>
          <w:highlight w:val="none"/>
        </w:rPr>
      </w:pPr>
      <w:r>
        <w:rPr>
          <w:rFonts w:hint="eastAsia" w:ascii="宋体" w:hAnsi="宋体" w:eastAsia="宋体" w:cs="宋体"/>
          <w:color w:val="auto"/>
          <w:kern w:val="0"/>
          <w:sz w:val="24"/>
          <w:highlight w:val="none"/>
        </w:rPr>
        <w:t>13、工期延误</w:t>
      </w:r>
    </w:p>
    <w:p w14:paraId="25B12360">
      <w:pPr>
        <w:pageBreakBefore w:val="0"/>
        <w:kinsoku/>
        <w:wordWrap/>
        <w:overflowPunct/>
        <w:topLinePunct w:val="0"/>
        <w:autoSpaceDE/>
        <w:autoSpaceDN/>
        <w:bidi w:val="0"/>
        <w:spacing w:line="460" w:lineRule="exac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13.1双方约定工期顺延的其他情况：</w:t>
      </w:r>
    </w:p>
    <w:p w14:paraId="38AC8DC0">
      <w:pPr>
        <w:pageBreakBefore w:val="0"/>
        <w:kinsoku/>
        <w:wordWrap/>
        <w:overflowPunct/>
        <w:topLinePunct w:val="0"/>
        <w:autoSpaceDE/>
        <w:autoSpaceDN/>
        <w:bidi w:val="0"/>
        <w:spacing w:line="460" w:lineRule="exact"/>
        <w:ind w:firstLine="477" w:firstLineChars="198"/>
        <w:textAlignment w:val="auto"/>
        <w:rPr>
          <w:rFonts w:hint="eastAsia" w:ascii="宋体" w:hAnsi="宋体" w:eastAsia="宋体" w:cs="宋体"/>
          <w:b/>
          <w:color w:val="auto"/>
          <w:sz w:val="24"/>
          <w:highlight w:val="none"/>
          <w:u w:val="single"/>
        </w:rPr>
      </w:pPr>
      <w:r>
        <w:rPr>
          <w:rFonts w:hint="eastAsia" w:ascii="宋体" w:hAnsi="宋体" w:eastAsia="宋体" w:cs="宋体"/>
          <w:b/>
          <w:color w:val="auto"/>
          <w:sz w:val="24"/>
          <w:highlight w:val="none"/>
          <w:u w:val="single"/>
        </w:rPr>
        <w:t>因发包人原因影响关键工序而导致工期拖期的，经发包人认可后可予以顺延。</w:t>
      </w:r>
    </w:p>
    <w:p w14:paraId="23A573E0">
      <w:pPr>
        <w:pageBreakBefore w:val="0"/>
        <w:kinsoku/>
        <w:wordWrap/>
        <w:overflowPunct/>
        <w:topLinePunct w:val="0"/>
        <w:autoSpaceDE/>
        <w:autoSpaceDN/>
        <w:bidi w:val="0"/>
        <w:spacing w:line="460" w:lineRule="exact"/>
        <w:textAlignment w:val="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四、质量与验收</w:t>
      </w:r>
    </w:p>
    <w:p w14:paraId="58BB12C1">
      <w:pPr>
        <w:pageBreakBefore w:val="0"/>
        <w:kinsoku/>
        <w:wordWrap/>
        <w:overflowPunct/>
        <w:topLinePunct w:val="0"/>
        <w:autoSpaceDE/>
        <w:autoSpaceDN/>
        <w:bidi w:val="0"/>
        <w:spacing w:line="460" w:lineRule="exac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17．隐蔽工程和中间验收</w:t>
      </w:r>
    </w:p>
    <w:p w14:paraId="64741474">
      <w:pPr>
        <w:pageBreakBefore w:val="0"/>
        <w:kinsoku/>
        <w:wordWrap/>
        <w:overflowPunct/>
        <w:topLinePunct w:val="0"/>
        <w:autoSpaceDE/>
        <w:autoSpaceDN/>
        <w:bidi w:val="0"/>
        <w:spacing w:line="460" w:lineRule="exact"/>
        <w:textAlignment w:val="auto"/>
        <w:rPr>
          <w:rFonts w:hint="eastAsia" w:ascii="宋体" w:hAnsi="宋体" w:eastAsia="宋体" w:cs="宋体"/>
          <w:b/>
          <w:color w:val="auto"/>
          <w:sz w:val="24"/>
          <w:highlight w:val="none"/>
          <w:u w:val="single"/>
        </w:rPr>
      </w:pPr>
      <w:r>
        <w:rPr>
          <w:rFonts w:hint="eastAsia" w:ascii="宋体" w:hAnsi="宋体" w:eastAsia="宋体" w:cs="宋体"/>
          <w:color w:val="auto"/>
          <w:sz w:val="24"/>
          <w:highlight w:val="none"/>
        </w:rPr>
        <w:t>17.1双方约定中间验收部位：</w:t>
      </w:r>
      <w:r>
        <w:rPr>
          <w:rFonts w:hint="eastAsia" w:ascii="宋体" w:hAnsi="宋体" w:eastAsia="宋体" w:cs="宋体"/>
          <w:b/>
          <w:color w:val="auto"/>
          <w:sz w:val="24"/>
          <w:highlight w:val="none"/>
          <w:u w:val="single"/>
        </w:rPr>
        <w:t xml:space="preserve">根据强制性标准、施工质量验收规范或发包人约定部位。  </w:t>
      </w:r>
    </w:p>
    <w:p w14:paraId="58648C5C">
      <w:pPr>
        <w:pageBreakBefore w:val="0"/>
        <w:kinsoku/>
        <w:wordWrap/>
        <w:overflowPunct/>
        <w:topLinePunct w:val="0"/>
        <w:autoSpaceDE/>
        <w:autoSpaceDN/>
        <w:bidi w:val="0"/>
        <w:spacing w:line="460" w:lineRule="exact"/>
        <w:textAlignment w:val="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五、安全施工</w:t>
      </w:r>
    </w:p>
    <w:p w14:paraId="75B5137A">
      <w:pPr>
        <w:pageBreakBefore w:val="0"/>
        <w:widowControl/>
        <w:kinsoku/>
        <w:wordWrap/>
        <w:overflowPunct/>
        <w:topLinePunct w:val="0"/>
        <w:autoSpaceDE/>
        <w:autoSpaceDN/>
        <w:bidi w:val="0"/>
        <w:spacing w:line="460" w:lineRule="exact"/>
        <w:ind w:firstLine="482" w:firstLineChars="200"/>
        <w:textAlignment w:val="auto"/>
        <w:rPr>
          <w:rFonts w:hint="eastAsia" w:ascii="宋体" w:hAnsi="宋体" w:eastAsia="宋体" w:cs="宋体"/>
          <w:b/>
          <w:color w:val="auto"/>
          <w:kern w:val="0"/>
          <w:sz w:val="24"/>
          <w:highlight w:val="none"/>
          <w:u w:val="single"/>
        </w:rPr>
      </w:pPr>
      <w:r>
        <w:rPr>
          <w:rFonts w:hint="eastAsia" w:ascii="宋体" w:hAnsi="宋体" w:eastAsia="宋体" w:cs="宋体"/>
          <w:b/>
          <w:color w:val="auto"/>
          <w:kern w:val="0"/>
          <w:sz w:val="24"/>
          <w:highlight w:val="none"/>
          <w:u w:val="single"/>
        </w:rPr>
        <w:t xml:space="preserve">执行《通用条款》21条全部条款及下述21.6至21.11条规定。承包人应按规定的范围使用安全文明措施费，保证专款专用，不得挪作它用，并应建立专用账户，接受发包人的监督。施工现场应达到市级以上文明工地标准。如因承包方原因，施工现场的安全文明施工管理制度不建全，对其在施工现场人员进行安全防护、文明施工教育不到位，采取的安全防护措施不力，造成的任何质量、安全事故，其责任完全由承包人自行承担。 </w:t>
      </w:r>
    </w:p>
    <w:p w14:paraId="642EF1AD">
      <w:pPr>
        <w:pageBreakBefore w:val="0"/>
        <w:kinsoku/>
        <w:wordWrap/>
        <w:overflowPunct/>
        <w:topLinePunct w:val="0"/>
        <w:autoSpaceDE/>
        <w:autoSpaceDN/>
        <w:bidi w:val="0"/>
        <w:spacing w:line="460" w:lineRule="exact"/>
        <w:textAlignment w:val="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六、合同价款</w:t>
      </w:r>
    </w:p>
    <w:p w14:paraId="344BA0A3">
      <w:pPr>
        <w:pageBreakBefore w:val="0"/>
        <w:widowControl/>
        <w:kinsoku/>
        <w:wordWrap/>
        <w:overflowPunct/>
        <w:topLinePunct w:val="0"/>
        <w:autoSpaceDE/>
        <w:autoSpaceDN/>
        <w:bidi w:val="0"/>
        <w:spacing w:line="460" w:lineRule="exact"/>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26、合同价款约定</w:t>
      </w:r>
    </w:p>
    <w:p w14:paraId="06351BA8">
      <w:pPr>
        <w:pageBreakBefore w:val="0"/>
        <w:widowControl/>
        <w:kinsoku/>
        <w:wordWrap/>
        <w:overflowPunct/>
        <w:topLinePunct w:val="0"/>
        <w:autoSpaceDE/>
        <w:autoSpaceDN/>
        <w:bidi w:val="0"/>
        <w:spacing w:line="460" w:lineRule="exact"/>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26.2本合同价款采用</w:t>
      </w:r>
      <w:r>
        <w:rPr>
          <w:rFonts w:hint="eastAsia" w:ascii="宋体" w:hAnsi="宋体" w:eastAsia="宋体" w:cs="宋体"/>
          <w:b/>
          <w:color w:val="auto"/>
          <w:kern w:val="0"/>
          <w:sz w:val="24"/>
          <w:highlight w:val="none"/>
          <w:u w:val="single"/>
        </w:rPr>
        <w:t>(2)</w:t>
      </w:r>
      <w:r>
        <w:rPr>
          <w:rFonts w:hint="eastAsia" w:ascii="宋体" w:hAnsi="宋体" w:eastAsia="宋体" w:cs="宋体"/>
          <w:color w:val="auto"/>
          <w:kern w:val="0"/>
          <w:sz w:val="24"/>
          <w:highlight w:val="none"/>
        </w:rPr>
        <w:t>方式确定。</w:t>
      </w:r>
    </w:p>
    <w:p w14:paraId="5724915F">
      <w:pPr>
        <w:pageBreakBefore w:val="0"/>
        <w:widowControl/>
        <w:kinsoku/>
        <w:wordWrap/>
        <w:overflowPunct/>
        <w:topLinePunct w:val="0"/>
        <w:autoSpaceDE/>
        <w:autoSpaceDN/>
        <w:bidi w:val="0"/>
        <w:spacing w:line="460" w:lineRule="exact"/>
        <w:ind w:firstLine="360" w:firstLineChars="15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（1）采用固定总价合同：</w:t>
      </w:r>
    </w:p>
    <w:p w14:paraId="2BA18596">
      <w:pPr>
        <w:pageBreakBefore w:val="0"/>
        <w:kinsoku/>
        <w:wordWrap/>
        <w:overflowPunct/>
        <w:topLinePunct w:val="0"/>
        <w:autoSpaceDE/>
        <w:autoSpaceDN/>
        <w:bidi w:val="0"/>
        <w:spacing w:line="460" w:lineRule="exact"/>
        <w:ind w:firstLine="360" w:firstLineChars="150"/>
        <w:textAlignment w:val="auto"/>
        <w:rPr>
          <w:rFonts w:hint="eastAsia" w:ascii="宋体" w:hAnsi="宋体" w:eastAsia="宋体" w:cs="宋体"/>
          <w:b/>
          <w:color w:val="auto"/>
          <w:sz w:val="24"/>
          <w:highlight w:val="none"/>
          <w:u w:val="single"/>
        </w:rPr>
      </w:pPr>
      <w:r>
        <w:rPr>
          <w:rFonts w:hint="eastAsia" w:ascii="宋体" w:hAnsi="宋体" w:eastAsia="宋体" w:cs="宋体"/>
          <w:color w:val="auto"/>
          <w:kern w:val="0"/>
          <w:sz w:val="24"/>
          <w:highlight w:val="none"/>
        </w:rPr>
        <w:t>（2）采用固定综合单价合同，综合单价中包括的风险范围：</w:t>
      </w:r>
      <w:r>
        <w:rPr>
          <w:rFonts w:hint="eastAsia" w:ascii="宋体" w:hAnsi="宋体" w:eastAsia="宋体" w:cs="宋体"/>
          <w:b/>
          <w:color w:val="auto"/>
          <w:sz w:val="24"/>
          <w:highlight w:val="none"/>
          <w:u w:val="single"/>
        </w:rPr>
        <w:t>人工费、材料费、机械费的社会价格浮动在投标价格的±5%以内时，由承包人承担，本合同第43条规定以外发生的自然灾害、雨季施工的防雨措施费、停水、停电及停窝工的费用、承包人在投标前及合同明示或暗示的所有风险、责任和义务等。</w:t>
      </w:r>
    </w:p>
    <w:p w14:paraId="77F7A160">
      <w:pPr>
        <w:pageBreakBefore w:val="0"/>
        <w:widowControl/>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风险范围以外综合单价调整方法：</w:t>
      </w:r>
      <w:r>
        <w:rPr>
          <w:rFonts w:hint="eastAsia" w:ascii="宋体" w:hAnsi="宋体" w:eastAsia="宋体" w:cs="宋体"/>
          <w:b/>
          <w:color w:val="auto"/>
          <w:sz w:val="24"/>
          <w:highlight w:val="none"/>
          <w:u w:val="single"/>
        </w:rPr>
        <w:t>由甲乙双方另行约定。</w:t>
      </w:r>
    </w:p>
    <w:p w14:paraId="2B15AE65">
      <w:pPr>
        <w:pageBreakBefore w:val="0"/>
        <w:widowControl/>
        <w:kinsoku/>
        <w:wordWrap/>
        <w:overflowPunct/>
        <w:topLinePunct w:val="0"/>
        <w:autoSpaceDE/>
        <w:autoSpaceDN/>
        <w:bidi w:val="0"/>
        <w:spacing w:line="460" w:lineRule="exact"/>
        <w:ind w:firstLine="482" w:firstLineChars="200"/>
        <w:textAlignment w:val="auto"/>
        <w:rPr>
          <w:rFonts w:hint="eastAsia" w:ascii="宋体" w:hAnsi="宋体" w:eastAsia="宋体" w:cs="宋体"/>
          <w:b/>
          <w:color w:val="auto"/>
          <w:sz w:val="24"/>
          <w:highlight w:val="none"/>
          <w:u w:val="single"/>
        </w:rPr>
      </w:pPr>
      <w:r>
        <w:rPr>
          <w:rFonts w:hint="eastAsia" w:ascii="宋体" w:hAnsi="宋体" w:eastAsia="宋体" w:cs="宋体"/>
          <w:b/>
          <w:color w:val="auto"/>
          <w:sz w:val="24"/>
          <w:highlight w:val="none"/>
          <w:u w:val="single"/>
        </w:rPr>
        <w:t xml:space="preserve">① 按照合同通用条款第43.3款确定的办法执行。                                                  </w:t>
      </w:r>
    </w:p>
    <w:p w14:paraId="5D61245C">
      <w:pPr>
        <w:pageBreakBefore w:val="0"/>
        <w:widowControl/>
        <w:kinsoku/>
        <w:wordWrap/>
        <w:overflowPunct/>
        <w:topLinePunct w:val="0"/>
        <w:autoSpaceDE/>
        <w:autoSpaceDN/>
        <w:bidi w:val="0"/>
        <w:spacing w:line="460" w:lineRule="exact"/>
        <w:ind w:firstLine="482" w:firstLineChars="200"/>
        <w:textAlignment w:val="auto"/>
        <w:rPr>
          <w:rFonts w:hint="eastAsia" w:ascii="宋体" w:hAnsi="宋体" w:eastAsia="宋体" w:cs="宋体"/>
          <w:b/>
          <w:color w:val="auto"/>
          <w:sz w:val="24"/>
          <w:highlight w:val="none"/>
          <w:u w:val="single"/>
        </w:rPr>
      </w:pPr>
      <w:r>
        <w:rPr>
          <w:rFonts w:hint="eastAsia" w:ascii="宋体" w:hAnsi="宋体" w:eastAsia="宋体" w:cs="宋体"/>
          <w:b/>
          <w:color w:val="auto"/>
          <w:sz w:val="24"/>
          <w:highlight w:val="none"/>
          <w:u w:val="single"/>
        </w:rPr>
        <w:t>② 按照</w:t>
      </w:r>
      <w:r>
        <w:rPr>
          <w:rFonts w:hint="eastAsia" w:ascii="宋体" w:hAnsi="宋体" w:eastAsia="宋体" w:cs="宋体"/>
          <w:b/>
          <w:color w:val="auto"/>
          <w:sz w:val="24"/>
          <w:highlight w:val="none"/>
          <w:u w:val="single"/>
          <w:lang w:eastAsia="zh-CN"/>
        </w:rPr>
        <w:t>磋商</w:t>
      </w:r>
      <w:r>
        <w:rPr>
          <w:rFonts w:hint="eastAsia" w:ascii="宋体" w:hAnsi="宋体" w:eastAsia="宋体" w:cs="宋体"/>
          <w:b/>
          <w:color w:val="auto"/>
          <w:sz w:val="24"/>
          <w:highlight w:val="none"/>
          <w:u w:val="single"/>
        </w:rPr>
        <w:t xml:space="preserve">文件、答疑纪要、设计变更、现场签证、洽商文件、发包人认质认价单及承包人中标综合单价、合同补充条款约定进行调整。 </w:t>
      </w:r>
    </w:p>
    <w:p w14:paraId="32A1CC4B">
      <w:pPr>
        <w:pageBreakBefore w:val="0"/>
        <w:widowControl/>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kern w:val="0"/>
          <w:sz w:val="24"/>
          <w:highlight w:val="none"/>
          <w:u w:val="single"/>
        </w:rPr>
      </w:pPr>
      <w:r>
        <w:rPr>
          <w:rFonts w:hint="eastAsia" w:ascii="宋体" w:hAnsi="宋体" w:eastAsia="宋体" w:cs="宋体"/>
          <w:color w:val="auto"/>
          <w:kern w:val="0"/>
          <w:sz w:val="24"/>
          <w:highlight w:val="none"/>
        </w:rPr>
        <w:t>（3）采用可调价格合同，合同价款调整方法：</w:t>
      </w:r>
      <w:r>
        <w:rPr>
          <w:rFonts w:hint="eastAsia" w:ascii="宋体" w:hAnsi="宋体" w:eastAsia="宋体" w:cs="宋体"/>
          <w:color w:val="auto"/>
          <w:kern w:val="0"/>
          <w:sz w:val="24"/>
          <w:highlight w:val="none"/>
          <w:u w:val="single"/>
        </w:rPr>
        <w:t xml:space="preserve">                  </w:t>
      </w:r>
    </w:p>
    <w:p w14:paraId="218B31B4">
      <w:pPr>
        <w:pageBreakBefore w:val="0"/>
        <w:kinsoku/>
        <w:wordWrap/>
        <w:overflowPunct/>
        <w:topLinePunct w:val="0"/>
        <w:autoSpaceDE/>
        <w:autoSpaceDN/>
        <w:bidi w:val="0"/>
        <w:spacing w:line="460" w:lineRule="exact"/>
        <w:textAlignment w:val="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27、合同调整</w:t>
      </w:r>
    </w:p>
    <w:p w14:paraId="44CEDFDC">
      <w:pPr>
        <w:pageBreakBefore w:val="0"/>
        <w:widowControl/>
        <w:kinsoku/>
        <w:wordWrap/>
        <w:overflowPunct/>
        <w:topLinePunct w:val="0"/>
        <w:autoSpaceDE/>
        <w:autoSpaceDN/>
        <w:bidi w:val="0"/>
        <w:spacing w:line="460" w:lineRule="exact"/>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27.1双方约定合同价款的调整因素：</w:t>
      </w:r>
      <w:r>
        <w:rPr>
          <w:rFonts w:hint="eastAsia" w:ascii="宋体" w:hAnsi="宋体" w:eastAsia="宋体" w:cs="宋体"/>
          <w:b/>
          <w:color w:val="auto"/>
          <w:sz w:val="24"/>
          <w:highlight w:val="none"/>
          <w:u w:val="single"/>
        </w:rPr>
        <w:t>按照合同通用条款第27.1款执行。</w:t>
      </w:r>
    </w:p>
    <w:p w14:paraId="7DB331EC">
      <w:pPr>
        <w:pageBreakBefore w:val="0"/>
        <w:kinsoku/>
        <w:wordWrap/>
        <w:overflowPunct/>
        <w:topLinePunct w:val="0"/>
        <w:autoSpaceDE/>
        <w:autoSpaceDN/>
        <w:bidi w:val="0"/>
        <w:spacing w:line="460" w:lineRule="exact"/>
        <w:textAlignment w:val="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28、工程预付款：</w:t>
      </w:r>
      <w:r>
        <w:rPr>
          <w:rFonts w:hint="eastAsia" w:ascii="宋体" w:hAnsi="宋体" w:eastAsia="宋体" w:cs="宋体"/>
          <w:b/>
          <w:bCs/>
          <w:color w:val="auto"/>
          <w:sz w:val="24"/>
          <w:szCs w:val="24"/>
          <w:highlight w:val="none"/>
          <w:u w:val="single"/>
          <w:lang w:val="en-US" w:eastAsia="zh-CN"/>
        </w:rPr>
        <w:t>合同签订后支付合同总价的</w:t>
      </w:r>
      <w:r>
        <w:rPr>
          <w:rFonts w:hint="eastAsia" w:ascii="宋体" w:hAnsi="宋体" w:cs="宋体"/>
          <w:b/>
          <w:bCs/>
          <w:color w:val="auto"/>
          <w:sz w:val="24"/>
          <w:szCs w:val="24"/>
          <w:highlight w:val="none"/>
          <w:u w:val="single"/>
          <w:lang w:val="en-US" w:eastAsia="zh-CN"/>
        </w:rPr>
        <w:t>40</w:t>
      </w:r>
      <w:r>
        <w:rPr>
          <w:rFonts w:hint="eastAsia" w:ascii="宋体" w:hAnsi="宋体" w:eastAsia="宋体" w:cs="宋体"/>
          <w:b/>
          <w:bCs/>
          <w:color w:val="auto"/>
          <w:sz w:val="24"/>
          <w:szCs w:val="24"/>
          <w:highlight w:val="none"/>
          <w:u w:val="single"/>
          <w:lang w:val="en-US" w:eastAsia="zh-CN"/>
        </w:rPr>
        <w:t>%</w:t>
      </w:r>
    </w:p>
    <w:p w14:paraId="638BAE1C">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扣回工程款的时间、比例：</w:t>
      </w:r>
      <w:r>
        <w:rPr>
          <w:rFonts w:hint="eastAsia" w:ascii="宋体" w:hAnsi="宋体" w:eastAsia="宋体" w:cs="宋体"/>
          <w:color w:val="auto"/>
          <w:sz w:val="24"/>
          <w:highlight w:val="none"/>
          <w:u w:val="single"/>
        </w:rPr>
        <w:t xml:space="preserve"> /</w:t>
      </w:r>
    </w:p>
    <w:p w14:paraId="42964674">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预付安全防护、文明施工措施费用的比例和时间：</w:t>
      </w:r>
      <w:r>
        <w:rPr>
          <w:rFonts w:hint="eastAsia" w:ascii="宋体" w:hAnsi="宋体" w:eastAsia="宋体" w:cs="宋体"/>
          <w:color w:val="auto"/>
          <w:sz w:val="24"/>
          <w:highlight w:val="none"/>
          <w:u w:val="single"/>
        </w:rPr>
        <w:t xml:space="preserve">                     </w:t>
      </w:r>
    </w:p>
    <w:p w14:paraId="5194E54C">
      <w:pPr>
        <w:pageBreakBefore w:val="0"/>
        <w:kinsoku/>
        <w:wordWrap/>
        <w:overflowPunct/>
        <w:topLinePunct w:val="0"/>
        <w:autoSpaceDE/>
        <w:autoSpaceDN/>
        <w:bidi w:val="0"/>
        <w:spacing w:line="460" w:lineRule="exac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29、工程量确认</w:t>
      </w:r>
    </w:p>
    <w:p w14:paraId="24A5B189">
      <w:pPr>
        <w:pageBreakBefore w:val="0"/>
        <w:kinsoku/>
        <w:wordWrap/>
        <w:overflowPunct/>
        <w:topLinePunct w:val="0"/>
        <w:autoSpaceDE/>
        <w:autoSpaceDN/>
        <w:bidi w:val="0"/>
        <w:spacing w:line="460" w:lineRule="exact"/>
        <w:textAlignment w:val="auto"/>
        <w:rPr>
          <w:rFonts w:hint="eastAsia" w:ascii="宋体" w:hAnsi="宋体" w:eastAsia="宋体" w:cs="宋体"/>
          <w:b/>
          <w:color w:val="auto"/>
          <w:sz w:val="24"/>
          <w:highlight w:val="none"/>
          <w:u w:val="single"/>
        </w:rPr>
      </w:pPr>
      <w:r>
        <w:rPr>
          <w:rFonts w:hint="eastAsia" w:ascii="宋体" w:hAnsi="宋体" w:eastAsia="宋体" w:cs="宋体"/>
          <w:color w:val="auto"/>
          <w:sz w:val="24"/>
          <w:highlight w:val="none"/>
        </w:rPr>
        <w:t>29.1承包人向工程师提交已完工程量报告的时间：</w:t>
      </w:r>
      <w:r>
        <w:rPr>
          <w:rFonts w:hint="eastAsia" w:ascii="宋体" w:hAnsi="宋体" w:eastAsia="宋体" w:cs="宋体"/>
          <w:b/>
          <w:color w:val="auto"/>
          <w:sz w:val="24"/>
          <w:highlight w:val="none"/>
          <w:u w:val="single"/>
        </w:rPr>
        <w:t xml:space="preserve">/ </w:t>
      </w:r>
    </w:p>
    <w:p w14:paraId="73C08A47">
      <w:pPr>
        <w:pageBreakBefore w:val="0"/>
        <w:kinsoku/>
        <w:wordWrap/>
        <w:overflowPunct/>
        <w:topLinePunct w:val="0"/>
        <w:autoSpaceDE/>
        <w:autoSpaceDN/>
        <w:bidi w:val="0"/>
        <w:spacing w:line="460" w:lineRule="exact"/>
        <w:textAlignment w:val="auto"/>
        <w:rPr>
          <w:rFonts w:hint="eastAsia" w:ascii="宋体" w:hAnsi="宋体" w:eastAsia="宋体" w:cs="宋体"/>
          <w:color w:val="auto"/>
          <w:sz w:val="24"/>
          <w:highlight w:val="none"/>
        </w:rPr>
      </w:pPr>
      <w:r>
        <w:rPr>
          <w:rFonts w:hint="eastAsia" w:ascii="宋体" w:hAnsi="宋体" w:eastAsia="宋体" w:cs="宋体"/>
          <w:color w:val="auto"/>
          <w:kern w:val="0"/>
          <w:sz w:val="24"/>
          <w:highlight w:val="none"/>
        </w:rPr>
        <w:t>3</w:t>
      </w:r>
      <w:r>
        <w:rPr>
          <w:rFonts w:hint="eastAsia" w:ascii="宋体" w:hAnsi="宋体" w:eastAsia="宋体" w:cs="宋体"/>
          <w:color w:val="auto"/>
          <w:sz w:val="24"/>
          <w:highlight w:val="none"/>
        </w:rPr>
        <w:t>0、工程进度款结算与支付：</w:t>
      </w:r>
    </w:p>
    <w:p w14:paraId="3FD05624">
      <w:pPr>
        <w:keepNext w:val="0"/>
        <w:keepLines w:val="0"/>
        <w:pageBreakBefore w:val="0"/>
        <w:widowControl/>
        <w:kinsoku w:val="0"/>
        <w:wordWrap/>
        <w:overflowPunct/>
        <w:topLinePunct w:val="0"/>
        <w:autoSpaceDE w:val="0"/>
        <w:autoSpaceDN w:val="0"/>
        <w:bidi w:val="0"/>
        <w:adjustRightInd/>
        <w:snapToGrid/>
        <w:spacing w:line="360" w:lineRule="auto"/>
        <w:ind w:left="0" w:right="0" w:firstLine="480" w:firstLineChars="200"/>
        <w:textAlignment w:val="baseline"/>
        <w:outlineLvl w:val="9"/>
        <w:rPr>
          <w:rFonts w:hint="eastAsia" w:ascii="宋体" w:hAnsi="宋体" w:eastAsia="宋体" w:cs="宋体"/>
          <w:b/>
          <w:bCs/>
          <w:color w:val="auto"/>
          <w:sz w:val="24"/>
          <w:highlight w:val="red"/>
          <w:u w:val="single"/>
        </w:rPr>
      </w:pPr>
      <w:r>
        <w:rPr>
          <w:rFonts w:hint="eastAsia" w:ascii="宋体" w:hAnsi="宋体" w:eastAsia="宋体" w:cs="宋体"/>
          <w:color w:val="auto"/>
          <w:sz w:val="24"/>
          <w:highlight w:val="none"/>
        </w:rPr>
        <w:t>双方约定的工程进度款支付的方式、时间和比例是</w:t>
      </w:r>
      <w:r>
        <w:rPr>
          <w:rFonts w:hint="eastAsia" w:ascii="宋体" w:hAnsi="宋体" w:eastAsia="宋体" w:cs="宋体"/>
          <w:color w:val="auto"/>
          <w:sz w:val="24"/>
          <w:highlight w:val="none"/>
          <w:u w:val="none"/>
        </w:rPr>
        <w:t>：</w:t>
      </w:r>
      <w:r>
        <w:rPr>
          <w:rFonts w:hint="eastAsia" w:ascii="宋体" w:hAnsi="宋体" w:eastAsia="宋体" w:cs="宋体"/>
          <w:color w:val="auto"/>
          <w:sz w:val="24"/>
          <w:szCs w:val="24"/>
          <w:highlight w:val="none"/>
          <w:u w:val="single"/>
          <w:lang w:val="en-US" w:eastAsia="zh-CN"/>
        </w:rPr>
        <w:t>合同签订后，</w:t>
      </w:r>
      <w:r>
        <w:rPr>
          <w:rFonts w:hint="eastAsia" w:ascii="宋体" w:hAnsi="宋体" w:eastAsia="宋体" w:cs="宋体"/>
          <w:color w:val="auto"/>
          <w:spacing w:val="0"/>
          <w:position w:val="0"/>
          <w:sz w:val="24"/>
          <w:szCs w:val="24"/>
          <w:highlight w:val="none"/>
          <w:u w:val="single"/>
          <w:lang w:val="en-US" w:eastAsia="zh-CN"/>
        </w:rPr>
        <w:t>达到付款条件30个工作日内，</w:t>
      </w:r>
      <w:r>
        <w:rPr>
          <w:rFonts w:hint="eastAsia" w:ascii="宋体" w:hAnsi="宋体" w:eastAsia="宋体" w:cs="宋体"/>
          <w:color w:val="auto"/>
          <w:sz w:val="24"/>
          <w:szCs w:val="24"/>
          <w:highlight w:val="none"/>
          <w:u w:val="single"/>
          <w:lang w:val="en-US" w:eastAsia="zh-CN"/>
        </w:rPr>
        <w:t>支付合同总价的</w:t>
      </w:r>
      <w:r>
        <w:rPr>
          <w:rFonts w:hint="eastAsia" w:ascii="宋体" w:hAnsi="宋体" w:cs="宋体"/>
          <w:color w:val="auto"/>
          <w:sz w:val="24"/>
          <w:szCs w:val="24"/>
          <w:highlight w:val="none"/>
          <w:u w:val="single"/>
          <w:lang w:val="en-US" w:eastAsia="zh-CN"/>
        </w:rPr>
        <w:t>40</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pacing w:val="0"/>
          <w:position w:val="0"/>
          <w:sz w:val="24"/>
          <w:szCs w:val="24"/>
          <w:highlight w:val="none"/>
          <w:u w:val="single"/>
          <w:lang w:val="en-US" w:eastAsia="zh-CN"/>
        </w:rPr>
        <w:t>施工阶段按照双方确认的工程形象进度节点拨付对应进度款，工程进度至合同总价的80%，达到付款条件30个工作日内，支付合同总价的40%；</w:t>
      </w:r>
      <w:r>
        <w:rPr>
          <w:rFonts w:hint="eastAsia" w:ascii="宋体" w:hAnsi="宋体" w:cs="宋体"/>
          <w:color w:val="auto"/>
          <w:sz w:val="24"/>
          <w:szCs w:val="24"/>
          <w:highlight w:val="none"/>
          <w:u w:val="single"/>
          <w:lang w:val="en-US" w:eastAsia="zh-CN"/>
        </w:rPr>
        <w:t>工程竣工验收合格并完成结算审核后，</w:t>
      </w:r>
      <w:r>
        <w:rPr>
          <w:rFonts w:hint="eastAsia" w:ascii="宋体" w:hAnsi="宋体" w:eastAsia="宋体" w:cs="宋体"/>
          <w:color w:val="auto"/>
          <w:spacing w:val="0"/>
          <w:position w:val="0"/>
          <w:sz w:val="24"/>
          <w:szCs w:val="24"/>
          <w:highlight w:val="none"/>
          <w:u w:val="single"/>
          <w:lang w:val="en-US" w:eastAsia="zh-CN"/>
        </w:rPr>
        <w:t>达到付款条件30个工作日内，</w:t>
      </w:r>
      <w:r>
        <w:rPr>
          <w:rFonts w:hint="eastAsia" w:ascii="宋体" w:hAnsi="宋体" w:cs="宋体"/>
          <w:color w:val="auto"/>
          <w:sz w:val="24"/>
          <w:szCs w:val="24"/>
          <w:highlight w:val="none"/>
          <w:u w:val="single"/>
          <w:lang w:val="en-US" w:eastAsia="zh-CN"/>
        </w:rPr>
        <w:t>一次性付清剩余全部款项。</w:t>
      </w:r>
    </w:p>
    <w:p w14:paraId="5E3D2FB5">
      <w:pPr>
        <w:pageBreakBefore w:val="0"/>
        <w:kinsoku/>
        <w:wordWrap/>
        <w:overflowPunct/>
        <w:topLinePunct w:val="0"/>
        <w:autoSpaceDE/>
        <w:autoSpaceDN/>
        <w:bidi w:val="0"/>
        <w:spacing w:line="460" w:lineRule="exact"/>
        <w:textAlignment w:val="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七、材料设备供应</w:t>
      </w:r>
    </w:p>
    <w:p w14:paraId="6681AABF">
      <w:pPr>
        <w:pageBreakBefore w:val="0"/>
        <w:kinsoku/>
        <w:wordWrap/>
        <w:overflowPunct/>
        <w:topLinePunct w:val="0"/>
        <w:autoSpaceDE/>
        <w:autoSpaceDN/>
        <w:bidi w:val="0"/>
        <w:spacing w:line="460" w:lineRule="exac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31、发包人供应材料设备 </w:t>
      </w:r>
    </w:p>
    <w:p w14:paraId="4A80423D">
      <w:pPr>
        <w:pageBreakBefore w:val="0"/>
        <w:kinsoku/>
        <w:wordWrap/>
        <w:overflowPunct/>
        <w:topLinePunct w:val="0"/>
        <w:autoSpaceDE/>
        <w:autoSpaceDN/>
        <w:bidi w:val="0"/>
        <w:spacing w:line="460" w:lineRule="exac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31.4发包人供应的材料设备与一览表不符时，双方约定发包人承担责任如下：</w:t>
      </w:r>
    </w:p>
    <w:p w14:paraId="3CA490F7">
      <w:pPr>
        <w:pageBreakBefore w:val="0"/>
        <w:kinsoku/>
        <w:wordWrap/>
        <w:overflowPunct/>
        <w:topLinePunct w:val="0"/>
        <w:autoSpaceDE/>
        <w:autoSpaceDN/>
        <w:bidi w:val="0"/>
        <w:spacing w:line="460" w:lineRule="exact"/>
        <w:textAlignment w:val="auto"/>
        <w:rPr>
          <w:rFonts w:hint="eastAsia" w:ascii="宋体" w:hAnsi="宋体" w:eastAsia="宋体" w:cs="宋体"/>
          <w:b/>
          <w:color w:val="auto"/>
          <w:sz w:val="24"/>
          <w:highlight w:val="none"/>
          <w:u w:val="single"/>
        </w:rPr>
      </w:pPr>
      <w:r>
        <w:rPr>
          <w:rFonts w:hint="eastAsia" w:ascii="宋体" w:hAnsi="宋体" w:eastAsia="宋体" w:cs="宋体"/>
          <w:color w:val="auto"/>
          <w:sz w:val="24"/>
          <w:highlight w:val="none"/>
        </w:rPr>
        <w:t xml:space="preserve">    （1）材料设备单价与一览表不符：</w:t>
      </w:r>
      <w:r>
        <w:rPr>
          <w:rFonts w:hint="eastAsia" w:ascii="宋体" w:hAnsi="宋体" w:eastAsia="宋体" w:cs="宋体"/>
          <w:b/>
          <w:color w:val="auto"/>
          <w:sz w:val="24"/>
          <w:highlight w:val="none"/>
          <w:u w:val="single"/>
        </w:rPr>
        <w:t xml:space="preserve">本项目暂无发包人供应材料。 </w:t>
      </w:r>
    </w:p>
    <w:p w14:paraId="0F0A7EF9">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b/>
          <w:color w:val="auto"/>
          <w:sz w:val="24"/>
          <w:highlight w:val="none"/>
        </w:rPr>
      </w:pPr>
      <w:r>
        <w:rPr>
          <w:rFonts w:hint="eastAsia" w:ascii="宋体" w:hAnsi="宋体" w:eastAsia="宋体" w:cs="宋体"/>
          <w:color w:val="auto"/>
          <w:sz w:val="24"/>
          <w:highlight w:val="none"/>
        </w:rPr>
        <w:t>（2）材料设备的品种、规格、型号、质量等级与一览表不符：</w:t>
      </w:r>
      <w:r>
        <w:rPr>
          <w:rFonts w:hint="eastAsia" w:ascii="宋体" w:hAnsi="宋体" w:eastAsia="宋体" w:cs="宋体"/>
          <w:b/>
          <w:color w:val="auto"/>
          <w:sz w:val="24"/>
          <w:highlight w:val="none"/>
          <w:u w:val="single"/>
        </w:rPr>
        <w:t xml:space="preserve">执行《通用条款》31.4.（2）款。 </w:t>
      </w:r>
      <w:r>
        <w:rPr>
          <w:rFonts w:hint="eastAsia" w:ascii="宋体" w:hAnsi="宋体" w:eastAsia="宋体" w:cs="宋体"/>
          <w:b/>
          <w:color w:val="auto"/>
          <w:sz w:val="24"/>
          <w:highlight w:val="none"/>
        </w:rPr>
        <w:t xml:space="preserve"> </w:t>
      </w:r>
    </w:p>
    <w:p w14:paraId="4A127B5F">
      <w:pPr>
        <w:pageBreakBefore w:val="0"/>
        <w:kinsoku/>
        <w:wordWrap/>
        <w:overflowPunct/>
        <w:topLinePunct w:val="0"/>
        <w:autoSpaceDE/>
        <w:autoSpaceDN/>
        <w:bidi w:val="0"/>
        <w:spacing w:line="460" w:lineRule="exact"/>
        <w:ind w:firstLine="420"/>
        <w:textAlignment w:val="auto"/>
        <w:rPr>
          <w:rFonts w:hint="eastAsia" w:ascii="宋体" w:hAnsi="宋体" w:eastAsia="宋体" w:cs="宋体"/>
          <w:b/>
          <w:color w:val="auto"/>
          <w:sz w:val="24"/>
          <w:highlight w:val="none"/>
          <w:u w:val="single"/>
        </w:rPr>
      </w:pPr>
      <w:r>
        <w:rPr>
          <w:rFonts w:hint="eastAsia" w:ascii="宋体" w:hAnsi="宋体" w:eastAsia="宋体" w:cs="宋体"/>
          <w:color w:val="auto"/>
          <w:sz w:val="24"/>
          <w:highlight w:val="none"/>
        </w:rPr>
        <w:t>（3）承包人可代为调剂串换的材料：</w:t>
      </w:r>
      <w:r>
        <w:rPr>
          <w:rFonts w:hint="eastAsia" w:ascii="宋体" w:hAnsi="宋体" w:eastAsia="宋体" w:cs="宋体"/>
          <w:b/>
          <w:color w:val="auto"/>
          <w:sz w:val="24"/>
          <w:highlight w:val="none"/>
          <w:u w:val="single"/>
        </w:rPr>
        <w:t>执行《通用条款》31.4.（3）款。</w:t>
      </w:r>
    </w:p>
    <w:p w14:paraId="3D18AC95">
      <w:pPr>
        <w:pageBreakBefore w:val="0"/>
        <w:kinsoku/>
        <w:wordWrap/>
        <w:overflowPunct/>
        <w:topLinePunct w:val="0"/>
        <w:autoSpaceDE/>
        <w:autoSpaceDN/>
        <w:bidi w:val="0"/>
        <w:spacing w:line="460" w:lineRule="exact"/>
        <w:textAlignment w:val="auto"/>
        <w:rPr>
          <w:rFonts w:hint="eastAsia" w:ascii="宋体" w:hAnsi="宋体" w:eastAsia="宋体" w:cs="宋体"/>
          <w:b/>
          <w:color w:val="auto"/>
          <w:sz w:val="24"/>
          <w:highlight w:val="none"/>
        </w:rPr>
      </w:pPr>
      <w:r>
        <w:rPr>
          <w:rFonts w:hint="eastAsia" w:ascii="宋体" w:hAnsi="宋体" w:eastAsia="宋体" w:cs="宋体"/>
          <w:color w:val="auto"/>
          <w:sz w:val="24"/>
          <w:highlight w:val="none"/>
        </w:rPr>
        <w:t xml:space="preserve">    （4）到货地点与一览表不符：</w:t>
      </w:r>
      <w:r>
        <w:rPr>
          <w:rFonts w:hint="eastAsia" w:ascii="宋体" w:hAnsi="宋体" w:eastAsia="宋体" w:cs="宋体"/>
          <w:b/>
          <w:color w:val="auto"/>
          <w:sz w:val="24"/>
          <w:highlight w:val="none"/>
          <w:u w:val="single"/>
        </w:rPr>
        <w:t>执行《通用条款》31.4.（4）款。</w:t>
      </w:r>
    </w:p>
    <w:p w14:paraId="49F5CE66">
      <w:pPr>
        <w:pageBreakBefore w:val="0"/>
        <w:kinsoku/>
        <w:wordWrap/>
        <w:overflowPunct/>
        <w:topLinePunct w:val="0"/>
        <w:autoSpaceDE/>
        <w:autoSpaceDN/>
        <w:bidi w:val="0"/>
        <w:spacing w:line="460" w:lineRule="exact"/>
        <w:ind w:firstLine="420"/>
        <w:textAlignment w:val="auto"/>
        <w:rPr>
          <w:rFonts w:hint="eastAsia" w:ascii="宋体" w:hAnsi="宋体" w:eastAsia="宋体" w:cs="宋体"/>
          <w:b/>
          <w:color w:val="auto"/>
          <w:sz w:val="24"/>
          <w:highlight w:val="none"/>
          <w:u w:val="single"/>
        </w:rPr>
      </w:pPr>
      <w:r>
        <w:rPr>
          <w:rFonts w:hint="eastAsia" w:ascii="宋体" w:hAnsi="宋体" w:eastAsia="宋体" w:cs="宋体"/>
          <w:color w:val="auto"/>
          <w:sz w:val="24"/>
          <w:highlight w:val="none"/>
        </w:rPr>
        <w:t>（5）供应数量与一览表不符：</w:t>
      </w:r>
      <w:r>
        <w:rPr>
          <w:rFonts w:hint="eastAsia" w:ascii="宋体" w:hAnsi="宋体" w:eastAsia="宋体" w:cs="宋体"/>
          <w:b/>
          <w:color w:val="auto"/>
          <w:sz w:val="24"/>
          <w:highlight w:val="none"/>
          <w:u w:val="single"/>
        </w:rPr>
        <w:t>执行《通用条款》31.4.（5）款。</w:t>
      </w:r>
    </w:p>
    <w:p w14:paraId="512EC6A2">
      <w:pPr>
        <w:pageBreakBefore w:val="0"/>
        <w:kinsoku/>
        <w:wordWrap/>
        <w:overflowPunct/>
        <w:topLinePunct w:val="0"/>
        <w:autoSpaceDE/>
        <w:autoSpaceDN/>
        <w:bidi w:val="0"/>
        <w:spacing w:line="460" w:lineRule="exact"/>
        <w:textAlignment w:val="auto"/>
        <w:rPr>
          <w:rFonts w:hint="eastAsia" w:ascii="宋体" w:hAnsi="宋体" w:eastAsia="宋体" w:cs="宋体"/>
          <w:b/>
          <w:color w:val="auto"/>
          <w:sz w:val="24"/>
          <w:highlight w:val="none"/>
          <w:u w:val="single"/>
        </w:rPr>
      </w:pPr>
      <w:r>
        <w:rPr>
          <w:rFonts w:hint="eastAsia" w:ascii="宋体" w:hAnsi="宋体" w:eastAsia="宋体" w:cs="宋体"/>
          <w:color w:val="auto"/>
          <w:sz w:val="24"/>
          <w:highlight w:val="none"/>
        </w:rPr>
        <w:t xml:space="preserve">    （6）到货时间与一览表不符：</w:t>
      </w:r>
      <w:r>
        <w:rPr>
          <w:rFonts w:hint="eastAsia" w:ascii="宋体" w:hAnsi="宋体" w:eastAsia="宋体" w:cs="宋体"/>
          <w:b/>
          <w:color w:val="auto"/>
          <w:sz w:val="24"/>
          <w:highlight w:val="none"/>
          <w:u w:val="single"/>
        </w:rPr>
        <w:t>到货时间无论何时、早晚，承包人都有材料的保管责任且不再另向发包人索要保管费（合同价中已经包含）。</w:t>
      </w:r>
    </w:p>
    <w:p w14:paraId="0D44BF4D">
      <w:pPr>
        <w:pageBreakBefore w:val="0"/>
        <w:kinsoku/>
        <w:wordWrap/>
        <w:overflowPunct/>
        <w:topLinePunct w:val="0"/>
        <w:autoSpaceDE/>
        <w:autoSpaceDN/>
        <w:bidi w:val="0"/>
        <w:spacing w:line="460" w:lineRule="exac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31.6发包人供应材料设备的结算方法</w:t>
      </w:r>
    </w:p>
    <w:p w14:paraId="45B4D982">
      <w:pPr>
        <w:pageBreakBefore w:val="0"/>
        <w:kinsoku/>
        <w:wordWrap/>
        <w:overflowPunct/>
        <w:topLinePunct w:val="0"/>
        <w:autoSpaceDE/>
        <w:autoSpaceDN/>
        <w:bidi w:val="0"/>
        <w:spacing w:line="460" w:lineRule="exact"/>
        <w:ind w:firstLine="482" w:firstLineChars="200"/>
        <w:textAlignment w:val="auto"/>
        <w:rPr>
          <w:rFonts w:hint="eastAsia" w:ascii="宋体" w:hAnsi="宋体" w:eastAsia="宋体" w:cs="宋体"/>
          <w:b/>
          <w:color w:val="auto"/>
          <w:sz w:val="24"/>
          <w:highlight w:val="none"/>
        </w:rPr>
      </w:pPr>
      <w:r>
        <w:rPr>
          <w:rFonts w:hint="eastAsia" w:ascii="宋体" w:hAnsi="宋体" w:eastAsia="宋体" w:cs="宋体"/>
          <w:b/>
          <w:bCs/>
          <w:color w:val="auto"/>
          <w:sz w:val="24"/>
          <w:highlight w:val="none"/>
        </w:rPr>
        <w:t>（1）</w:t>
      </w:r>
      <w:r>
        <w:rPr>
          <w:rFonts w:hint="eastAsia" w:ascii="宋体" w:hAnsi="宋体" w:eastAsia="宋体" w:cs="宋体"/>
          <w:b/>
          <w:bCs/>
          <w:color w:val="auto"/>
          <w:sz w:val="24"/>
          <w:highlight w:val="none"/>
          <w:u w:val="single"/>
        </w:rPr>
        <w:t>发</w:t>
      </w:r>
      <w:r>
        <w:rPr>
          <w:rFonts w:hint="eastAsia" w:ascii="宋体" w:hAnsi="宋体" w:eastAsia="宋体" w:cs="宋体"/>
          <w:b/>
          <w:color w:val="auto"/>
          <w:sz w:val="24"/>
          <w:highlight w:val="none"/>
          <w:u w:val="single"/>
        </w:rPr>
        <w:t>包人供应的材料设备使用前，由承包人负责检验或试验，不合格的不得使用，检验或试验费用由承包人承担（合同价中已经包含）。</w:t>
      </w:r>
      <w:r>
        <w:rPr>
          <w:rFonts w:hint="eastAsia" w:ascii="宋体" w:hAnsi="宋体" w:eastAsia="宋体" w:cs="宋体"/>
          <w:b/>
          <w:color w:val="auto"/>
          <w:sz w:val="24"/>
          <w:highlight w:val="none"/>
        </w:rPr>
        <w:t xml:space="preserve">                            </w:t>
      </w:r>
    </w:p>
    <w:p w14:paraId="5EC6BD0B">
      <w:pPr>
        <w:pageBreakBefore w:val="0"/>
        <w:kinsoku/>
        <w:wordWrap/>
        <w:overflowPunct/>
        <w:topLinePunct w:val="0"/>
        <w:autoSpaceDE/>
        <w:autoSpaceDN/>
        <w:bidi w:val="0"/>
        <w:spacing w:line="460" w:lineRule="exact"/>
        <w:ind w:firstLine="482" w:firstLineChars="200"/>
        <w:textAlignment w:val="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（2）发包人供应材料的结算方法：</w:t>
      </w:r>
    </w:p>
    <w:p w14:paraId="0BAB8F04">
      <w:pPr>
        <w:pageBreakBefore w:val="0"/>
        <w:kinsoku/>
        <w:wordWrap/>
        <w:overflowPunct/>
        <w:topLinePunct w:val="0"/>
        <w:autoSpaceDE/>
        <w:autoSpaceDN/>
        <w:bidi w:val="0"/>
        <w:spacing w:line="460" w:lineRule="exact"/>
        <w:ind w:firstLine="480"/>
        <w:textAlignment w:val="auto"/>
        <w:rPr>
          <w:rFonts w:hint="eastAsia" w:ascii="宋体" w:hAnsi="宋体" w:eastAsia="宋体" w:cs="宋体"/>
          <w:color w:val="auto"/>
          <w:sz w:val="24"/>
          <w:highlight w:val="none"/>
        </w:rPr>
      </w:pPr>
      <w:r>
        <w:rPr>
          <w:rFonts w:hint="eastAsia" w:ascii="宋体" w:hAnsi="宋体" w:eastAsia="宋体" w:cs="宋体"/>
          <w:b/>
          <w:color w:val="auto"/>
          <w:sz w:val="24"/>
          <w:highlight w:val="none"/>
          <w:u w:val="single"/>
        </w:rPr>
        <w:t>在发生当月工程进度款中按实际用量及招标暂定价格扣除。认质认价所产生的差价（差价进入工程结算且只计安全文明施工措施费、规费和税金，）在竣工决算时从扣工程结算中扣除。</w:t>
      </w:r>
      <w:r>
        <w:rPr>
          <w:rFonts w:hint="eastAsia" w:ascii="宋体" w:hAnsi="宋体" w:eastAsia="宋体" w:cs="宋体"/>
          <w:b/>
          <w:color w:val="auto"/>
          <w:sz w:val="24"/>
          <w:highlight w:val="none"/>
        </w:rPr>
        <w:t xml:space="preserve">                       </w:t>
      </w:r>
    </w:p>
    <w:p w14:paraId="14ED55D2">
      <w:pPr>
        <w:pageBreakBefore w:val="0"/>
        <w:kinsoku/>
        <w:wordWrap/>
        <w:overflowPunct/>
        <w:topLinePunct w:val="0"/>
        <w:autoSpaceDE/>
        <w:autoSpaceDN/>
        <w:bidi w:val="0"/>
        <w:spacing w:line="460" w:lineRule="exac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32．承包人采购材料设备                                                                                                                                     </w:t>
      </w:r>
    </w:p>
    <w:p w14:paraId="0F1BC605">
      <w:pPr>
        <w:pageBreakBefore w:val="0"/>
        <w:kinsoku/>
        <w:wordWrap/>
        <w:overflowPunct/>
        <w:topLinePunct w:val="0"/>
        <w:autoSpaceDE/>
        <w:autoSpaceDN/>
        <w:bidi w:val="0"/>
        <w:spacing w:line="460" w:lineRule="exac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32.1承包人采购材料设备的约定：</w:t>
      </w:r>
      <w:r>
        <w:rPr>
          <w:rFonts w:hint="eastAsia" w:ascii="宋体" w:hAnsi="宋体" w:eastAsia="宋体" w:cs="宋体"/>
          <w:b/>
          <w:color w:val="auto"/>
          <w:sz w:val="24"/>
          <w:highlight w:val="none"/>
          <w:u w:val="single"/>
        </w:rPr>
        <w:t>承包人采购材料设备前，须向发包方申报，经发包方和监理单位确认后方可购买。否则按不合格品处理，并拒绝支付该项费用，发包方保留更换材料设备品牌、厂家的权利。</w:t>
      </w:r>
    </w:p>
    <w:p w14:paraId="4212FF67">
      <w:pPr>
        <w:pageBreakBefore w:val="0"/>
        <w:widowControl/>
        <w:kinsoku/>
        <w:wordWrap/>
        <w:overflowPunct/>
        <w:topLinePunct w:val="0"/>
        <w:autoSpaceDE/>
        <w:autoSpaceDN/>
        <w:bidi w:val="0"/>
        <w:spacing w:line="460" w:lineRule="exact"/>
        <w:textAlignment w:val="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八、工程变更</w:t>
      </w:r>
    </w:p>
    <w:p w14:paraId="16D5B23D">
      <w:pPr>
        <w:pageBreakBefore w:val="0"/>
        <w:kinsoku/>
        <w:wordWrap/>
        <w:overflowPunct/>
        <w:topLinePunct w:val="0"/>
        <w:autoSpaceDE/>
        <w:autoSpaceDN/>
        <w:bidi w:val="0"/>
        <w:spacing w:line="460" w:lineRule="exac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35.确定变更价款</w:t>
      </w:r>
    </w:p>
    <w:p w14:paraId="05E7CA10">
      <w:pPr>
        <w:pageBreakBefore w:val="0"/>
        <w:kinsoku/>
        <w:wordWrap/>
        <w:overflowPunct/>
        <w:topLinePunct w:val="0"/>
        <w:autoSpaceDE/>
        <w:autoSpaceDN/>
        <w:bidi w:val="0"/>
        <w:adjustRightInd w:val="0"/>
        <w:snapToGrid w:val="0"/>
        <w:spacing w:line="460" w:lineRule="exact"/>
        <w:ind w:firstLine="482" w:firstLineChars="200"/>
        <w:textAlignment w:val="auto"/>
        <w:rPr>
          <w:rFonts w:hint="eastAsia" w:ascii="宋体" w:hAnsi="宋体" w:eastAsia="宋体" w:cs="宋体"/>
          <w:b/>
          <w:color w:val="auto"/>
          <w:sz w:val="24"/>
          <w:highlight w:val="none"/>
          <w:u w:val="single"/>
        </w:rPr>
      </w:pPr>
      <w:r>
        <w:rPr>
          <w:rFonts w:hint="eastAsia" w:ascii="宋体" w:hAnsi="宋体" w:eastAsia="宋体" w:cs="宋体"/>
          <w:b/>
          <w:color w:val="auto"/>
          <w:sz w:val="24"/>
          <w:highlight w:val="none"/>
          <w:u w:val="single"/>
        </w:rPr>
        <w:t xml:space="preserve">执行《通用条款》。 </w:t>
      </w:r>
    </w:p>
    <w:p w14:paraId="15161875">
      <w:pPr>
        <w:pageBreakBefore w:val="0"/>
        <w:kinsoku/>
        <w:wordWrap/>
        <w:overflowPunct/>
        <w:topLinePunct w:val="0"/>
        <w:autoSpaceDE/>
        <w:autoSpaceDN/>
        <w:bidi w:val="0"/>
        <w:spacing w:line="460" w:lineRule="exact"/>
        <w:textAlignment w:val="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九、竣工验收与结算</w:t>
      </w:r>
    </w:p>
    <w:p w14:paraId="4C67DA6E">
      <w:pPr>
        <w:pageBreakBefore w:val="0"/>
        <w:kinsoku/>
        <w:wordWrap/>
        <w:overflowPunct/>
        <w:topLinePunct w:val="0"/>
        <w:autoSpaceDE/>
        <w:autoSpaceDN/>
        <w:bidi w:val="0"/>
        <w:spacing w:line="460" w:lineRule="exact"/>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36、竣工验收：</w:t>
      </w:r>
    </w:p>
    <w:p w14:paraId="5C6E240C">
      <w:pPr>
        <w:pageBreakBefore w:val="0"/>
        <w:kinsoku/>
        <w:wordWrap/>
        <w:overflowPunct/>
        <w:topLinePunct w:val="0"/>
        <w:autoSpaceDE/>
        <w:autoSpaceDN/>
        <w:bidi w:val="0"/>
        <w:spacing w:line="460" w:lineRule="exact"/>
        <w:textAlignment w:val="auto"/>
        <w:rPr>
          <w:rFonts w:hint="eastAsia" w:ascii="宋体" w:hAnsi="宋体" w:eastAsia="宋体" w:cs="宋体"/>
          <w:b/>
          <w:color w:val="auto"/>
          <w:sz w:val="24"/>
          <w:highlight w:val="none"/>
          <w:u w:val="single"/>
        </w:rPr>
      </w:pPr>
      <w:r>
        <w:rPr>
          <w:rFonts w:hint="eastAsia" w:ascii="宋体" w:hAnsi="宋体" w:eastAsia="宋体" w:cs="宋体"/>
          <w:color w:val="auto"/>
          <w:sz w:val="24"/>
          <w:highlight w:val="none"/>
        </w:rPr>
        <w:t>36.1竣工结算：</w:t>
      </w:r>
      <w:r>
        <w:rPr>
          <w:rFonts w:hint="eastAsia" w:ascii="宋体" w:hAnsi="宋体" w:eastAsia="宋体" w:cs="宋体"/>
          <w:b/>
          <w:color w:val="auto"/>
          <w:sz w:val="24"/>
          <w:highlight w:val="none"/>
          <w:u w:val="single"/>
        </w:rPr>
        <w:t>/</w:t>
      </w:r>
    </w:p>
    <w:p w14:paraId="52A630D7">
      <w:pPr>
        <w:pageBreakBefore w:val="0"/>
        <w:widowControl/>
        <w:kinsoku/>
        <w:wordWrap/>
        <w:overflowPunct/>
        <w:topLinePunct w:val="0"/>
        <w:autoSpaceDE/>
        <w:autoSpaceDN/>
        <w:bidi w:val="0"/>
        <w:spacing w:line="460" w:lineRule="exact"/>
        <w:textAlignment w:val="auto"/>
        <w:rPr>
          <w:rFonts w:hint="eastAsia" w:ascii="宋体" w:hAnsi="宋体" w:eastAsia="宋体" w:cs="宋体"/>
          <w:b/>
          <w:color w:val="auto"/>
          <w:sz w:val="24"/>
          <w:highlight w:val="none"/>
          <w:u w:val="single"/>
        </w:rPr>
      </w:pPr>
      <w:r>
        <w:rPr>
          <w:rFonts w:hint="eastAsia" w:ascii="宋体" w:hAnsi="宋体" w:eastAsia="宋体" w:cs="宋体"/>
          <w:color w:val="auto"/>
          <w:kern w:val="0"/>
          <w:sz w:val="24"/>
          <w:highlight w:val="none"/>
        </w:rPr>
        <w:t>36.6中间交工工程的范围和竣工时间：</w:t>
      </w:r>
      <w:r>
        <w:rPr>
          <w:rFonts w:hint="eastAsia" w:ascii="宋体" w:hAnsi="宋体" w:eastAsia="宋体" w:cs="宋体"/>
          <w:b/>
          <w:color w:val="auto"/>
          <w:kern w:val="0"/>
          <w:sz w:val="24"/>
          <w:highlight w:val="none"/>
          <w:u w:val="single"/>
        </w:rPr>
        <w:t>无。</w:t>
      </w:r>
    </w:p>
    <w:p w14:paraId="1671C566">
      <w:pPr>
        <w:pageBreakBefore w:val="0"/>
        <w:kinsoku/>
        <w:wordWrap/>
        <w:overflowPunct/>
        <w:topLinePunct w:val="0"/>
        <w:autoSpaceDE/>
        <w:autoSpaceDN/>
        <w:bidi w:val="0"/>
        <w:spacing w:line="460" w:lineRule="exact"/>
        <w:textAlignment w:val="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＋、违约、索赔和争议</w:t>
      </w:r>
    </w:p>
    <w:p w14:paraId="61C5A758">
      <w:pPr>
        <w:pageBreakBefore w:val="0"/>
        <w:kinsoku/>
        <w:wordWrap/>
        <w:overflowPunct/>
        <w:topLinePunct w:val="0"/>
        <w:autoSpaceDE/>
        <w:autoSpaceDN/>
        <w:bidi w:val="0"/>
        <w:spacing w:line="460" w:lineRule="exact"/>
        <w:textAlignment w:val="auto"/>
        <w:rPr>
          <w:rFonts w:hint="eastAsia" w:ascii="宋体" w:hAnsi="宋体" w:eastAsia="宋体" w:cs="宋体"/>
          <w:b/>
          <w:color w:val="auto"/>
          <w:sz w:val="24"/>
          <w:highlight w:val="none"/>
        </w:rPr>
      </w:pPr>
      <w:r>
        <w:rPr>
          <w:rFonts w:hint="eastAsia" w:ascii="宋体" w:hAnsi="宋体" w:eastAsia="宋体" w:cs="宋体"/>
          <w:color w:val="auto"/>
          <w:sz w:val="24"/>
          <w:highlight w:val="none"/>
        </w:rPr>
        <w:t>39</w:t>
      </w:r>
      <w:r>
        <w:rPr>
          <w:rFonts w:hint="eastAsia" w:ascii="宋体" w:hAnsi="宋体" w:eastAsia="宋体" w:cs="宋体"/>
          <w:b/>
          <w:color w:val="auto"/>
          <w:sz w:val="24"/>
          <w:highlight w:val="none"/>
        </w:rPr>
        <w:t>、违约</w:t>
      </w:r>
    </w:p>
    <w:p w14:paraId="6AF43052">
      <w:pPr>
        <w:pageBreakBefore w:val="0"/>
        <w:kinsoku/>
        <w:wordWrap/>
        <w:overflowPunct/>
        <w:topLinePunct w:val="0"/>
        <w:autoSpaceDE/>
        <w:autoSpaceDN/>
        <w:bidi w:val="0"/>
        <w:spacing w:line="460" w:lineRule="exac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本合同中关于承包人违约的具体责任如下：                                                                                                                                      </w:t>
      </w:r>
    </w:p>
    <w:p w14:paraId="5619A73A">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b/>
          <w:snapToGrid w:val="0"/>
          <w:color w:val="auto"/>
          <w:sz w:val="24"/>
          <w:highlight w:val="none"/>
          <w:u w:val="single"/>
        </w:rPr>
      </w:pPr>
      <w:r>
        <w:rPr>
          <w:rFonts w:hint="eastAsia" w:ascii="宋体" w:hAnsi="宋体" w:eastAsia="宋体" w:cs="宋体"/>
          <w:color w:val="auto"/>
          <w:sz w:val="24"/>
          <w:highlight w:val="none"/>
        </w:rPr>
        <w:t>（1）本合同通用条款第14.2款约定承包人违约应承担的违约责任：</w:t>
      </w:r>
      <w:r>
        <w:rPr>
          <w:rFonts w:hint="eastAsia" w:ascii="宋体" w:hAnsi="宋体" w:eastAsia="宋体" w:cs="宋体"/>
          <w:b/>
          <w:snapToGrid w:val="0"/>
          <w:color w:val="auto"/>
          <w:sz w:val="24"/>
          <w:highlight w:val="none"/>
          <w:u w:val="single"/>
        </w:rPr>
        <w:t>承包人工期每推迟一天按1000元处罚外，若影响发包人使用时，应另赔偿由此给甲方造成的损失。</w:t>
      </w:r>
    </w:p>
    <w:p w14:paraId="599408B9">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b/>
          <w:color w:val="auto"/>
          <w:sz w:val="24"/>
          <w:highlight w:val="none"/>
          <w:u w:val="single"/>
        </w:rPr>
      </w:pPr>
      <w:r>
        <w:rPr>
          <w:rFonts w:hint="eastAsia" w:ascii="宋体" w:hAnsi="宋体" w:eastAsia="宋体" w:cs="宋体"/>
          <w:color w:val="auto"/>
          <w:sz w:val="24"/>
          <w:highlight w:val="none"/>
        </w:rPr>
        <w:t>（2）本合同通用条款第 15.1款约定承包人违约应承担的违约责任：</w:t>
      </w:r>
      <w:r>
        <w:rPr>
          <w:rFonts w:hint="eastAsia" w:ascii="宋体" w:hAnsi="宋体" w:eastAsia="宋体" w:cs="宋体"/>
          <w:b/>
          <w:color w:val="auto"/>
          <w:sz w:val="24"/>
          <w:highlight w:val="none"/>
          <w:u w:val="single"/>
        </w:rPr>
        <w:t>按国务院279号令有关规定处理。</w:t>
      </w:r>
    </w:p>
    <w:p w14:paraId="2B59D1A9">
      <w:pPr>
        <w:pageBreakBefore w:val="0"/>
        <w:kinsoku/>
        <w:wordWrap/>
        <w:overflowPunct/>
        <w:topLinePunct w:val="0"/>
        <w:autoSpaceDE/>
        <w:autoSpaceDN/>
        <w:bidi w:val="0"/>
        <w:spacing w:line="460" w:lineRule="exact"/>
        <w:ind w:firstLine="482" w:firstLineChars="200"/>
        <w:textAlignment w:val="auto"/>
        <w:rPr>
          <w:rFonts w:hint="eastAsia" w:ascii="宋体" w:hAnsi="宋体" w:eastAsia="宋体" w:cs="宋体"/>
          <w:b/>
          <w:snapToGrid w:val="0"/>
          <w:color w:val="auto"/>
          <w:sz w:val="24"/>
          <w:highlight w:val="none"/>
          <w:u w:val="single"/>
        </w:rPr>
      </w:pPr>
      <w:r>
        <w:rPr>
          <w:rFonts w:hint="eastAsia" w:ascii="宋体" w:hAnsi="宋体" w:eastAsia="宋体" w:cs="宋体"/>
          <w:b/>
          <w:snapToGrid w:val="0"/>
          <w:color w:val="auto"/>
          <w:sz w:val="24"/>
          <w:highlight w:val="none"/>
          <w:u w:val="single"/>
        </w:rPr>
        <w:t>达不到合格质量标准，承包人应负责返工，直至重新通过验收，承包人应负责返工所发生的所有费用，所延误的工期不得顺延。如经过两次返修仍不能通过验收的，则发包人有权终止合同，承包应赔偿发包人由此引起的一切损失。</w:t>
      </w:r>
    </w:p>
    <w:p w14:paraId="3BCD4A92">
      <w:pPr>
        <w:pageBreakBefore w:val="0"/>
        <w:widowControl/>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（3）双方约定的承包人其他违约责任：</w:t>
      </w:r>
      <w:r>
        <w:rPr>
          <w:rFonts w:hint="eastAsia" w:ascii="宋体" w:hAnsi="宋体" w:eastAsia="宋体" w:cs="宋体"/>
          <w:color w:val="auto"/>
          <w:sz w:val="24"/>
          <w:highlight w:val="none"/>
          <w:u w:val="single"/>
        </w:rPr>
        <w:t xml:space="preserve">   无   </w:t>
      </w:r>
    </w:p>
    <w:p w14:paraId="73678B19">
      <w:pPr>
        <w:pageBreakBefore w:val="0"/>
        <w:kinsoku/>
        <w:wordWrap/>
        <w:overflowPunct/>
        <w:topLinePunct w:val="0"/>
        <w:autoSpaceDE/>
        <w:autoSpaceDN/>
        <w:bidi w:val="0"/>
        <w:spacing w:line="460" w:lineRule="exact"/>
        <w:textAlignment w:val="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41．争议</w:t>
      </w:r>
    </w:p>
    <w:p w14:paraId="2A61A431">
      <w:pPr>
        <w:pageBreakBefore w:val="0"/>
        <w:kinsoku/>
        <w:wordWrap/>
        <w:overflowPunct/>
        <w:topLinePunct w:val="0"/>
        <w:autoSpaceDE/>
        <w:autoSpaceDN/>
        <w:bidi w:val="0"/>
        <w:spacing w:line="460" w:lineRule="exac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41.1</w:t>
      </w:r>
      <w:r>
        <w:rPr>
          <w:rFonts w:hint="eastAsia" w:ascii="宋体" w:hAnsi="宋体" w:eastAsia="宋体" w:cs="宋体"/>
          <w:color w:val="auto"/>
          <w:kern w:val="0"/>
          <w:sz w:val="24"/>
          <w:highlight w:val="none"/>
        </w:rPr>
        <w:t>双方当事人约定，在履行合同过程中产生争议时：</w:t>
      </w:r>
    </w:p>
    <w:p w14:paraId="5916E95B">
      <w:pPr>
        <w:pageBreakBefore w:val="0"/>
        <w:widowControl/>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（1）请</w:t>
      </w:r>
      <w:r>
        <w:rPr>
          <w:rFonts w:hint="eastAsia" w:ascii="宋体" w:hAnsi="宋体" w:eastAsia="宋体" w:cs="宋体"/>
          <w:b/>
          <w:snapToGrid w:val="0"/>
          <w:color w:val="auto"/>
          <w:kern w:val="0"/>
          <w:sz w:val="24"/>
          <w:highlight w:val="none"/>
          <w:u w:val="single"/>
        </w:rPr>
        <w:t>合同主管部门和造价主管部门</w:t>
      </w:r>
      <w:r>
        <w:rPr>
          <w:rFonts w:hint="eastAsia" w:ascii="宋体" w:hAnsi="宋体" w:eastAsia="宋体" w:cs="宋体"/>
          <w:color w:val="auto"/>
          <w:kern w:val="0"/>
          <w:sz w:val="24"/>
          <w:highlight w:val="none"/>
        </w:rPr>
        <w:t>调解；</w:t>
      </w:r>
    </w:p>
    <w:p w14:paraId="64166E2A">
      <w:pPr>
        <w:pageBreakBefore w:val="0"/>
        <w:widowControl/>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（2）合同争议调解不成的，按下列第</w:t>
      </w:r>
      <w:r>
        <w:rPr>
          <w:rFonts w:hint="eastAsia" w:ascii="宋体" w:hAnsi="宋体" w:eastAsia="宋体" w:cs="宋体"/>
          <w:color w:val="auto"/>
          <w:kern w:val="0"/>
          <w:sz w:val="24"/>
          <w:highlight w:val="none"/>
          <w:u w:val="single"/>
        </w:rPr>
        <w:t xml:space="preserve">  </w:t>
      </w:r>
      <w:r>
        <w:rPr>
          <w:rFonts w:hint="eastAsia" w:ascii="宋体" w:hAnsi="宋体" w:eastAsia="宋体" w:cs="宋体"/>
          <w:b/>
          <w:snapToGrid w:val="0"/>
          <w:color w:val="auto"/>
          <w:kern w:val="0"/>
          <w:sz w:val="24"/>
          <w:highlight w:val="none"/>
          <w:u w:val="single"/>
        </w:rPr>
        <w:t>2）</w:t>
      </w:r>
      <w:r>
        <w:rPr>
          <w:rFonts w:hint="eastAsia" w:ascii="宋体" w:hAnsi="宋体" w:eastAsia="宋体" w:cs="宋体"/>
          <w:color w:val="auto"/>
          <w:kern w:val="0"/>
          <w:sz w:val="24"/>
          <w:highlight w:val="none"/>
        </w:rPr>
        <w:t>种方式解决：</w:t>
      </w:r>
    </w:p>
    <w:p w14:paraId="4AFAA5A2">
      <w:pPr>
        <w:pageBreakBefore w:val="0"/>
        <w:widowControl/>
        <w:kinsoku/>
        <w:wordWrap/>
        <w:overflowPunct/>
        <w:topLinePunct w:val="0"/>
        <w:autoSpaceDE/>
        <w:autoSpaceDN/>
        <w:bidi w:val="0"/>
        <w:spacing w:line="460" w:lineRule="exact"/>
        <w:ind w:firstLine="720" w:firstLineChars="3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1）提交 _____仲裁委员会申请仲裁；</w:t>
      </w:r>
    </w:p>
    <w:p w14:paraId="40DF2CAB">
      <w:pPr>
        <w:pageBreakBefore w:val="0"/>
        <w:widowControl/>
        <w:kinsoku/>
        <w:wordWrap/>
        <w:overflowPunct/>
        <w:topLinePunct w:val="0"/>
        <w:autoSpaceDE/>
        <w:autoSpaceDN/>
        <w:bidi w:val="0"/>
        <w:spacing w:line="460" w:lineRule="exact"/>
        <w:ind w:firstLine="720" w:firstLineChars="3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2）依法向</w:t>
      </w:r>
      <w:r>
        <w:rPr>
          <w:rFonts w:hint="eastAsia" w:ascii="宋体" w:hAnsi="宋体" w:eastAsia="宋体" w:cs="宋体"/>
          <w:color w:val="auto"/>
          <w:kern w:val="0"/>
          <w:sz w:val="24"/>
          <w:highlight w:val="none"/>
          <w:u w:val="single"/>
          <w:lang w:val="en-US" w:eastAsia="zh-CN"/>
        </w:rPr>
        <w:t xml:space="preserve">     </w:t>
      </w:r>
      <w:r>
        <w:rPr>
          <w:rFonts w:hint="eastAsia" w:ascii="宋体" w:hAnsi="宋体" w:eastAsia="宋体" w:cs="宋体"/>
          <w:color w:val="auto"/>
          <w:kern w:val="0"/>
          <w:sz w:val="24"/>
          <w:highlight w:val="none"/>
        </w:rPr>
        <w:t>人民法院提起诉讼。</w:t>
      </w:r>
    </w:p>
    <w:p w14:paraId="327F9AB9">
      <w:pPr>
        <w:pageBreakBefore w:val="0"/>
        <w:kinsoku/>
        <w:wordWrap/>
        <w:overflowPunct/>
        <w:topLinePunct w:val="0"/>
        <w:autoSpaceDE/>
        <w:autoSpaceDN/>
        <w:bidi w:val="0"/>
        <w:spacing w:line="460" w:lineRule="exact"/>
        <w:textAlignment w:val="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十一、其他</w:t>
      </w:r>
    </w:p>
    <w:p w14:paraId="2CFD317E">
      <w:pPr>
        <w:pageBreakBefore w:val="0"/>
        <w:kinsoku/>
        <w:wordWrap/>
        <w:overflowPunct/>
        <w:topLinePunct w:val="0"/>
        <w:autoSpaceDE/>
        <w:autoSpaceDN/>
        <w:bidi w:val="0"/>
        <w:spacing w:line="460" w:lineRule="exact"/>
        <w:textAlignment w:val="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42、工程分包</w:t>
      </w:r>
    </w:p>
    <w:p w14:paraId="1D8FC9A8">
      <w:pPr>
        <w:pageBreakBefore w:val="0"/>
        <w:kinsoku/>
        <w:wordWrap/>
        <w:overflowPunct/>
        <w:topLinePunct w:val="0"/>
        <w:autoSpaceDE/>
        <w:autoSpaceDN/>
        <w:bidi w:val="0"/>
        <w:spacing w:line="460" w:lineRule="exact"/>
        <w:textAlignment w:val="auto"/>
        <w:rPr>
          <w:rFonts w:hint="eastAsia" w:ascii="宋体" w:hAnsi="宋体" w:eastAsia="宋体" w:cs="宋体"/>
          <w:b/>
          <w:color w:val="auto"/>
          <w:sz w:val="24"/>
          <w:highlight w:val="none"/>
          <w:u w:val="single"/>
        </w:rPr>
      </w:pPr>
      <w:r>
        <w:rPr>
          <w:rFonts w:hint="eastAsia" w:ascii="宋体" w:hAnsi="宋体" w:eastAsia="宋体" w:cs="宋体"/>
          <w:color w:val="auto"/>
          <w:sz w:val="24"/>
          <w:highlight w:val="none"/>
        </w:rPr>
        <w:t>42.1</w:t>
      </w:r>
      <w:r>
        <w:rPr>
          <w:rFonts w:hint="eastAsia" w:ascii="宋体" w:hAnsi="宋体" w:eastAsia="宋体" w:cs="宋体"/>
          <w:color w:val="auto"/>
          <w:kern w:val="0"/>
          <w:sz w:val="24"/>
          <w:highlight w:val="none"/>
        </w:rPr>
        <w:t>本工程发包人同意承包人分包的专业工程</w:t>
      </w:r>
      <w:r>
        <w:rPr>
          <w:rFonts w:hint="eastAsia" w:ascii="宋体" w:hAnsi="宋体" w:eastAsia="宋体" w:cs="宋体"/>
          <w:color w:val="auto"/>
          <w:sz w:val="24"/>
          <w:highlight w:val="none"/>
        </w:rPr>
        <w:t>：</w:t>
      </w:r>
      <w:r>
        <w:rPr>
          <w:rFonts w:hint="eastAsia" w:ascii="宋体" w:hAnsi="宋体" w:eastAsia="宋体" w:cs="宋体"/>
          <w:b/>
          <w:color w:val="auto"/>
          <w:sz w:val="24"/>
          <w:highlight w:val="none"/>
          <w:u w:val="single"/>
        </w:rPr>
        <w:t xml:space="preserve">  无  </w:t>
      </w:r>
    </w:p>
    <w:p w14:paraId="4C9C0102">
      <w:pPr>
        <w:pageBreakBefore w:val="0"/>
        <w:widowControl/>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分包施工单位为：</w:t>
      </w:r>
      <w:r>
        <w:rPr>
          <w:rFonts w:hint="eastAsia" w:ascii="宋体" w:hAnsi="宋体" w:eastAsia="宋体" w:cs="宋体"/>
          <w:color w:val="auto"/>
          <w:sz w:val="24"/>
          <w:highlight w:val="none"/>
          <w:u w:val="single"/>
        </w:rPr>
        <w:t xml:space="preserve">   无   </w:t>
      </w:r>
    </w:p>
    <w:p w14:paraId="21DBEE69">
      <w:pPr>
        <w:pageBreakBefore w:val="0"/>
        <w:kinsoku/>
        <w:wordWrap/>
        <w:overflowPunct/>
        <w:topLinePunct w:val="0"/>
        <w:autoSpaceDE/>
        <w:autoSpaceDN/>
        <w:bidi w:val="0"/>
        <w:spacing w:line="460" w:lineRule="exact"/>
        <w:textAlignment w:val="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43、不可抗力</w:t>
      </w:r>
    </w:p>
    <w:p w14:paraId="32355F00">
      <w:pPr>
        <w:pageBreakBefore w:val="0"/>
        <w:kinsoku/>
        <w:wordWrap/>
        <w:overflowPunct/>
        <w:topLinePunct w:val="0"/>
        <w:autoSpaceDE/>
        <w:autoSpaceDN/>
        <w:bidi w:val="0"/>
        <w:spacing w:line="460" w:lineRule="exac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43.1</w:t>
      </w:r>
      <w:r>
        <w:rPr>
          <w:rFonts w:hint="eastAsia" w:ascii="宋体" w:hAnsi="宋体" w:eastAsia="宋体" w:cs="宋体"/>
          <w:color w:val="auto"/>
          <w:kern w:val="0"/>
          <w:sz w:val="24"/>
          <w:highlight w:val="none"/>
        </w:rPr>
        <w:t>双方关于不可抗力的约定：</w:t>
      </w:r>
    </w:p>
    <w:p w14:paraId="624BAF3F">
      <w:pPr>
        <w:pageBreakBefore w:val="0"/>
        <w:widowControl/>
        <w:kinsoku/>
        <w:wordWrap/>
        <w:overflowPunct/>
        <w:topLinePunct w:val="0"/>
        <w:autoSpaceDE/>
        <w:autoSpaceDN/>
        <w:bidi w:val="0"/>
        <w:spacing w:line="460" w:lineRule="exact"/>
        <w:ind w:firstLine="480" w:firstLineChars="200"/>
        <w:textAlignment w:val="auto"/>
        <w:rPr>
          <w:rFonts w:hint="eastAsia" w:ascii="宋体" w:hAnsi="宋体" w:eastAsia="宋体" w:cs="宋体"/>
          <w:bCs/>
          <w:color w:val="auto"/>
          <w:sz w:val="24"/>
          <w:highlight w:val="none"/>
          <w:u w:val="single"/>
        </w:rPr>
      </w:pPr>
      <w:r>
        <w:rPr>
          <w:rFonts w:hint="eastAsia" w:ascii="宋体" w:hAnsi="宋体" w:eastAsia="宋体" w:cs="宋体"/>
          <w:bCs/>
          <w:color w:val="auto"/>
          <w:sz w:val="24"/>
          <w:highlight w:val="none"/>
          <w:u w:val="single"/>
        </w:rPr>
        <w:t xml:space="preserve">遇有不可抗力的，应立即将事故情况书面通报监理工程师及发包人，并应在7日内提供详情及合同不能履行或部分不能履行或需要延期履行的理由的有效证明文件。 </w:t>
      </w:r>
    </w:p>
    <w:p w14:paraId="36906041">
      <w:pPr>
        <w:pageBreakBefore w:val="0"/>
        <w:kinsoku/>
        <w:wordWrap/>
        <w:overflowPunct/>
        <w:topLinePunct w:val="0"/>
        <w:autoSpaceDE/>
        <w:autoSpaceDN/>
        <w:bidi w:val="0"/>
        <w:spacing w:line="460" w:lineRule="exac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44、保险</w:t>
      </w:r>
    </w:p>
    <w:p w14:paraId="50898C24">
      <w:pPr>
        <w:pageBreakBefore w:val="0"/>
        <w:kinsoku/>
        <w:wordWrap/>
        <w:overflowPunct/>
        <w:topLinePunct w:val="0"/>
        <w:autoSpaceDE/>
        <w:autoSpaceDN/>
        <w:bidi w:val="0"/>
        <w:spacing w:line="460" w:lineRule="exac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44.1本工程双方约定投保内容如下：</w:t>
      </w:r>
    </w:p>
    <w:p w14:paraId="2ED8F1C4">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b/>
          <w:color w:val="auto"/>
          <w:sz w:val="24"/>
          <w:highlight w:val="none"/>
          <w:u w:val="single"/>
        </w:rPr>
      </w:pPr>
      <w:r>
        <w:rPr>
          <w:rFonts w:hint="eastAsia" w:ascii="宋体" w:hAnsi="宋体" w:eastAsia="宋体" w:cs="宋体"/>
          <w:color w:val="auto"/>
          <w:sz w:val="24"/>
          <w:highlight w:val="none"/>
          <w:lang w:val="en-US" w:eastAsia="zh-CN"/>
        </w:rPr>
        <w:t>(1)</w:t>
      </w:r>
      <w:r>
        <w:rPr>
          <w:rFonts w:hint="eastAsia" w:ascii="宋体" w:hAnsi="宋体" w:eastAsia="宋体" w:cs="宋体"/>
          <w:color w:val="auto"/>
          <w:sz w:val="24"/>
          <w:highlight w:val="none"/>
        </w:rPr>
        <w:t>承包人办理的保险事项：</w:t>
      </w:r>
      <w:r>
        <w:rPr>
          <w:rFonts w:hint="eastAsia" w:ascii="宋体" w:hAnsi="宋体" w:eastAsia="宋体" w:cs="宋体"/>
          <w:b/>
          <w:color w:val="auto"/>
          <w:sz w:val="24"/>
          <w:highlight w:val="none"/>
          <w:u w:val="single"/>
        </w:rPr>
        <w:t>由承包人自行办理属于承包人自己应办理的保险。</w:t>
      </w:r>
    </w:p>
    <w:p w14:paraId="49AA4044">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（2）承包人投保内容：</w:t>
      </w:r>
      <w:r>
        <w:rPr>
          <w:rFonts w:hint="eastAsia" w:ascii="宋体" w:hAnsi="宋体" w:eastAsia="宋体" w:cs="宋体"/>
          <w:b/>
          <w:color w:val="auto"/>
          <w:sz w:val="24"/>
          <w:highlight w:val="none"/>
          <w:u w:val="single"/>
        </w:rPr>
        <w:t>执行《通用条款》44.4条。</w:t>
      </w:r>
      <w:r>
        <w:rPr>
          <w:rFonts w:hint="eastAsia" w:ascii="宋体" w:hAnsi="宋体" w:eastAsia="宋体" w:cs="宋体"/>
          <w:color w:val="auto"/>
          <w:sz w:val="24"/>
          <w:highlight w:val="none"/>
          <w:u w:val="single"/>
        </w:rPr>
        <w:t xml:space="preserve"> </w:t>
      </w:r>
    </w:p>
    <w:p w14:paraId="46C73124">
      <w:pPr>
        <w:pageBreakBefore w:val="0"/>
        <w:kinsoku/>
        <w:wordWrap/>
        <w:overflowPunct/>
        <w:topLinePunct w:val="0"/>
        <w:autoSpaceDE/>
        <w:autoSpaceDN/>
        <w:bidi w:val="0"/>
        <w:spacing w:line="460" w:lineRule="exac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45、担保 </w:t>
      </w:r>
    </w:p>
    <w:p w14:paraId="1B8D01DA">
      <w:pPr>
        <w:pageBreakBefore w:val="0"/>
        <w:kinsoku/>
        <w:wordWrap/>
        <w:overflowPunct/>
        <w:topLinePunct w:val="0"/>
        <w:autoSpaceDE/>
        <w:autoSpaceDN/>
        <w:bidi w:val="0"/>
        <w:spacing w:line="460" w:lineRule="exac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45.3本工程双方约定担保事项如下：</w:t>
      </w:r>
    </w:p>
    <w:p w14:paraId="62F32CBD">
      <w:pPr>
        <w:pageBreakBefore w:val="0"/>
        <w:widowControl/>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（1）承包人向发包人提供银行保函履约担保，担保方式为：</w:t>
      </w:r>
      <w:r>
        <w:rPr>
          <w:rFonts w:hint="eastAsia" w:ascii="宋体" w:hAnsi="宋体" w:eastAsia="宋体" w:cs="宋体"/>
          <w:b/>
          <w:color w:val="auto"/>
          <w:sz w:val="24"/>
          <w:highlight w:val="none"/>
          <w:u w:val="single"/>
        </w:rPr>
        <w:t>无</w:t>
      </w:r>
      <w:r>
        <w:rPr>
          <w:rFonts w:hint="eastAsia" w:ascii="宋体" w:hAnsi="宋体" w:eastAsia="宋体" w:cs="宋体"/>
          <w:color w:val="auto"/>
          <w:kern w:val="0"/>
          <w:sz w:val="24"/>
          <w:highlight w:val="none"/>
        </w:rPr>
        <w:t>，担保金额：</w:t>
      </w:r>
      <w:r>
        <w:rPr>
          <w:rFonts w:hint="eastAsia" w:ascii="宋体" w:hAnsi="宋体" w:eastAsia="宋体" w:cs="宋体"/>
          <w:b/>
          <w:color w:val="auto"/>
          <w:kern w:val="0"/>
          <w:sz w:val="24"/>
          <w:highlight w:val="none"/>
          <w:u w:val="single"/>
        </w:rPr>
        <w:t>/</w:t>
      </w:r>
      <w:r>
        <w:rPr>
          <w:rFonts w:hint="eastAsia" w:ascii="宋体" w:hAnsi="宋体" w:eastAsia="宋体" w:cs="宋体"/>
          <w:color w:val="auto"/>
          <w:kern w:val="0"/>
          <w:sz w:val="24"/>
          <w:highlight w:val="none"/>
        </w:rPr>
        <w:t>，提交时间：</w:t>
      </w:r>
      <w:r>
        <w:rPr>
          <w:rFonts w:hint="eastAsia" w:ascii="宋体" w:hAnsi="宋体" w:eastAsia="宋体" w:cs="宋体"/>
          <w:b/>
          <w:color w:val="auto"/>
          <w:kern w:val="0"/>
          <w:sz w:val="24"/>
          <w:highlight w:val="none"/>
          <w:u w:val="single"/>
        </w:rPr>
        <w:t>/</w:t>
      </w:r>
      <w:r>
        <w:rPr>
          <w:rFonts w:hint="eastAsia" w:ascii="宋体" w:hAnsi="宋体" w:eastAsia="宋体" w:cs="宋体"/>
          <w:color w:val="auto"/>
          <w:kern w:val="0"/>
          <w:sz w:val="24"/>
          <w:highlight w:val="none"/>
        </w:rPr>
        <w:t>，担保有效期：</w:t>
      </w:r>
      <w:r>
        <w:rPr>
          <w:rFonts w:hint="eastAsia" w:ascii="宋体" w:hAnsi="宋体" w:eastAsia="宋体" w:cs="宋体"/>
          <w:b/>
          <w:color w:val="auto"/>
          <w:sz w:val="24"/>
          <w:highlight w:val="none"/>
          <w:u w:val="single"/>
        </w:rPr>
        <w:t>/</w:t>
      </w:r>
      <w:r>
        <w:rPr>
          <w:rFonts w:hint="eastAsia" w:ascii="宋体" w:hAnsi="宋体" w:eastAsia="宋体" w:cs="宋体"/>
          <w:color w:val="auto"/>
          <w:kern w:val="0"/>
          <w:sz w:val="24"/>
          <w:highlight w:val="none"/>
          <w:u w:val="single"/>
        </w:rPr>
        <w:t xml:space="preserve"> </w:t>
      </w:r>
    </w:p>
    <w:p w14:paraId="617CDCCA">
      <w:pPr>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b/>
          <w:color w:val="auto"/>
          <w:sz w:val="24"/>
          <w:highlight w:val="none"/>
        </w:rPr>
      </w:pPr>
      <w:r>
        <w:rPr>
          <w:rFonts w:hint="eastAsia" w:ascii="宋体" w:hAnsi="宋体" w:eastAsia="宋体" w:cs="宋体"/>
          <w:color w:val="auto"/>
          <w:kern w:val="0"/>
          <w:sz w:val="24"/>
          <w:highlight w:val="none"/>
        </w:rPr>
        <w:t>（2）双方约定的其他担保事项：</w:t>
      </w:r>
      <w:r>
        <w:rPr>
          <w:rFonts w:hint="eastAsia" w:ascii="宋体" w:hAnsi="宋体" w:eastAsia="宋体" w:cs="宋体"/>
          <w:b/>
          <w:color w:val="auto"/>
          <w:sz w:val="24"/>
          <w:highlight w:val="none"/>
          <w:u w:val="single"/>
        </w:rPr>
        <w:t xml:space="preserve">无 </w:t>
      </w:r>
    </w:p>
    <w:p w14:paraId="1605C963">
      <w:pPr>
        <w:pageBreakBefore w:val="0"/>
        <w:kinsoku/>
        <w:wordWrap/>
        <w:overflowPunct/>
        <w:topLinePunct w:val="0"/>
        <w:autoSpaceDE/>
        <w:autoSpaceDN/>
        <w:bidi w:val="0"/>
        <w:spacing w:line="460" w:lineRule="exact"/>
        <w:textAlignment w:val="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50、合同份数</w:t>
      </w:r>
    </w:p>
    <w:p w14:paraId="626A9EE8">
      <w:pPr>
        <w:pageBreakBefore w:val="0"/>
        <w:kinsoku/>
        <w:wordWrap/>
        <w:overflowPunct/>
        <w:topLinePunct w:val="0"/>
        <w:autoSpaceDE/>
        <w:autoSpaceDN/>
        <w:bidi w:val="0"/>
        <w:spacing w:line="460" w:lineRule="exac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50.2双方约定合同份数：</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rPr>
        <w:t xml:space="preserve"> </w:t>
      </w:r>
    </w:p>
    <w:p w14:paraId="710EBFC9">
      <w:pPr>
        <w:pageBreakBefore w:val="0"/>
        <w:kinsoku/>
        <w:wordWrap/>
        <w:overflowPunct/>
        <w:topLinePunct w:val="0"/>
        <w:autoSpaceDE/>
        <w:autoSpaceDN/>
        <w:bidi w:val="0"/>
        <w:spacing w:line="460" w:lineRule="exact"/>
        <w:jc w:val="left"/>
        <w:textAlignment w:val="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51、补充条款</w:t>
      </w:r>
    </w:p>
    <w:p w14:paraId="04CB8A54">
      <w:pPr>
        <w:pageBreakBefore w:val="0"/>
        <w:kinsoku/>
        <w:wordWrap/>
        <w:overflowPunct/>
        <w:topLinePunct w:val="0"/>
        <w:autoSpaceDE/>
        <w:autoSpaceDN/>
        <w:bidi w:val="0"/>
        <w:spacing w:line="460" w:lineRule="exact"/>
        <w:jc w:val="left"/>
        <w:textAlignment w:val="auto"/>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color w:val="auto"/>
          <w:sz w:val="24"/>
          <w:highlight w:val="none"/>
        </w:rPr>
        <w:t>51.1</w:t>
      </w:r>
      <w:r>
        <w:rPr>
          <w:rFonts w:hint="eastAsia" w:ascii="宋体" w:hAnsi="宋体" w:eastAsia="宋体" w:cs="宋体"/>
          <w:b w:val="0"/>
          <w:bCs w:val="0"/>
          <w:color w:val="auto"/>
          <w:sz w:val="24"/>
          <w:szCs w:val="24"/>
          <w:highlight w:val="none"/>
          <w:lang w:val="zh-CN" w:eastAsia="zh-CN"/>
        </w:rPr>
        <w:t>如有工程变更乙方需提前报送采购人及监理，经双方同意后据实结算。</w:t>
      </w:r>
    </w:p>
    <w:p w14:paraId="64213856">
      <w:pPr>
        <w:pageBreakBefore w:val="0"/>
        <w:kinsoku/>
        <w:wordWrap/>
        <w:overflowPunct/>
        <w:topLinePunct w:val="0"/>
        <w:autoSpaceDE/>
        <w:autoSpaceDN/>
        <w:bidi w:val="0"/>
        <w:spacing w:line="460" w:lineRule="exact"/>
        <w:jc w:val="left"/>
        <w:textAlignment w:val="auto"/>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51</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2</w:t>
      </w:r>
      <w:r>
        <w:rPr>
          <w:rFonts w:hint="eastAsia" w:ascii="宋体" w:hAnsi="宋体" w:eastAsia="宋体" w:cs="宋体"/>
          <w:color w:val="auto"/>
          <w:sz w:val="24"/>
          <w:highlight w:val="none"/>
        </w:rPr>
        <w:t>专业工程暂估价：依财政局评审文件为依据，参考招标限价与中标价的下浮比例签订合同，最终造价以审计为准。</w:t>
      </w:r>
    </w:p>
    <w:p w14:paraId="6BE21BFC">
      <w:pPr>
        <w:pageBreakBefore w:val="0"/>
        <w:kinsoku/>
        <w:wordWrap/>
        <w:overflowPunct/>
        <w:topLinePunct w:val="0"/>
        <w:autoSpaceDE/>
        <w:autoSpaceDN/>
        <w:bidi w:val="0"/>
        <w:spacing w:line="460" w:lineRule="exact"/>
        <w:jc w:val="left"/>
        <w:textAlignment w:val="auto"/>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51.</w:t>
      </w:r>
      <w:r>
        <w:rPr>
          <w:rFonts w:hint="eastAsia" w:ascii="宋体" w:hAnsi="宋体" w:eastAsia="宋体" w:cs="宋体"/>
          <w:color w:val="auto"/>
          <w:sz w:val="24"/>
          <w:highlight w:val="none"/>
          <w:lang w:val="en-US" w:eastAsia="zh-CN"/>
        </w:rPr>
        <w:t>3</w:t>
      </w:r>
      <w:r>
        <w:rPr>
          <w:rFonts w:hint="eastAsia" w:ascii="宋体" w:hAnsi="宋体" w:eastAsia="宋体" w:cs="宋体"/>
          <w:color w:val="auto"/>
          <w:sz w:val="24"/>
          <w:highlight w:val="none"/>
        </w:rPr>
        <w:t>承包人采购材料设备的约定：承包人采购的所有材料、设备均应达到国家规范“合格”标准以上。发现不合格材料、设备用于工程中，承包人无条件返工且费用自理，同时，应承担发包人由此而引起的经济损失。</w:t>
      </w:r>
    </w:p>
    <w:p w14:paraId="65F89E0D">
      <w:pPr>
        <w:pageBreakBefore w:val="0"/>
        <w:kinsoku/>
        <w:wordWrap/>
        <w:overflowPunct/>
        <w:topLinePunct w:val="0"/>
        <w:autoSpaceDE/>
        <w:autoSpaceDN/>
        <w:bidi w:val="0"/>
        <w:spacing w:line="460" w:lineRule="exact"/>
        <w:jc w:val="left"/>
        <w:textAlignment w:val="auto"/>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51.</w:t>
      </w:r>
      <w:r>
        <w:rPr>
          <w:rFonts w:hint="eastAsia" w:ascii="宋体" w:hAnsi="宋体" w:eastAsia="宋体" w:cs="宋体"/>
          <w:color w:val="auto"/>
          <w:sz w:val="24"/>
          <w:highlight w:val="none"/>
          <w:lang w:val="en-US" w:eastAsia="zh-CN"/>
        </w:rPr>
        <w:t>4</w:t>
      </w:r>
      <w:r>
        <w:rPr>
          <w:rFonts w:hint="eastAsia" w:ascii="宋体" w:hAnsi="宋体" w:eastAsia="宋体" w:cs="宋体"/>
          <w:color w:val="auto"/>
          <w:sz w:val="24"/>
          <w:highlight w:val="none"/>
        </w:rPr>
        <w:t>承包人应按月支付农民工工资，否则，招标人有权从工程款中扣除并发放给农民工。</w:t>
      </w:r>
    </w:p>
    <w:p w14:paraId="6AF505A9">
      <w:pPr>
        <w:pageBreakBefore w:val="0"/>
        <w:kinsoku/>
        <w:wordWrap/>
        <w:overflowPunct/>
        <w:topLinePunct w:val="0"/>
        <w:autoSpaceDE/>
        <w:autoSpaceDN/>
        <w:bidi w:val="0"/>
        <w:spacing w:line="460" w:lineRule="exact"/>
        <w:jc w:val="left"/>
        <w:textAlignment w:val="auto"/>
        <w:rPr>
          <w:rFonts w:hint="eastAsia" w:ascii="宋体" w:hAnsi="宋体" w:eastAsia="宋体" w:cs="宋体"/>
          <w:b/>
          <w:color w:val="auto"/>
          <w:sz w:val="24"/>
          <w:highlight w:val="none"/>
        </w:rPr>
      </w:pPr>
      <w:r>
        <w:rPr>
          <w:rFonts w:hint="eastAsia" w:ascii="宋体" w:hAnsi="宋体" w:eastAsia="宋体" w:cs="宋体"/>
          <w:color w:val="auto"/>
          <w:sz w:val="24"/>
          <w:highlight w:val="none"/>
        </w:rPr>
        <w:t>51.</w:t>
      </w:r>
      <w:r>
        <w:rPr>
          <w:rFonts w:hint="eastAsia" w:ascii="宋体" w:hAnsi="宋体" w:eastAsia="宋体" w:cs="宋体"/>
          <w:color w:val="auto"/>
          <w:sz w:val="24"/>
          <w:highlight w:val="none"/>
          <w:lang w:val="en-US" w:eastAsia="zh-CN"/>
        </w:rPr>
        <w:t>5</w:t>
      </w:r>
      <w:r>
        <w:rPr>
          <w:rFonts w:hint="eastAsia" w:ascii="宋体" w:hAnsi="宋体" w:eastAsia="宋体" w:cs="宋体"/>
          <w:color w:val="auto"/>
          <w:sz w:val="24"/>
          <w:highlight w:val="none"/>
        </w:rPr>
        <w:t>本工程竣工后，应将建筑物和施工单位生活区周围50米范围内施工现场清除干净；无建筑材料、无建筑设备、无临时垃圾、无坑池渠沟、无掩埋的硬化道路和垃圾，场地整洁，达到工程使用标准。否则发包人不予支付工程款。</w:t>
      </w:r>
    </w:p>
    <w:p w14:paraId="23FEBE4E">
      <w:pPr>
        <w:pageBreakBefore w:val="0"/>
        <w:kinsoku/>
        <w:wordWrap/>
        <w:overflowPunct/>
        <w:topLinePunct w:val="0"/>
        <w:autoSpaceDE/>
        <w:autoSpaceDN/>
        <w:bidi w:val="0"/>
        <w:spacing w:line="460" w:lineRule="exact"/>
        <w:jc w:val="left"/>
        <w:textAlignment w:val="auto"/>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51.</w:t>
      </w:r>
      <w:r>
        <w:rPr>
          <w:rFonts w:hint="eastAsia" w:ascii="宋体" w:hAnsi="宋体" w:eastAsia="宋体" w:cs="宋体"/>
          <w:color w:val="auto"/>
          <w:sz w:val="24"/>
          <w:highlight w:val="none"/>
          <w:lang w:val="en-US" w:eastAsia="zh-CN"/>
        </w:rPr>
        <w:t>6</w:t>
      </w:r>
      <w:r>
        <w:rPr>
          <w:rFonts w:hint="eastAsia" w:ascii="宋体" w:hAnsi="宋体" w:eastAsia="宋体" w:cs="宋体"/>
          <w:color w:val="auto"/>
          <w:sz w:val="24"/>
          <w:highlight w:val="none"/>
        </w:rPr>
        <w:t>施工现场应按照市级文明工地标准，严格按文明工地施工，设立专用垃圾场，不得任意堆放或乱倒垃圾，定期将建筑垃圾清运。管理好自己的职工，不得随地大小便，服从发包人管理。</w:t>
      </w:r>
    </w:p>
    <w:p w14:paraId="17C2C3F7">
      <w:pPr>
        <w:pageBreakBefore w:val="0"/>
        <w:kinsoku/>
        <w:wordWrap/>
        <w:overflowPunct/>
        <w:topLinePunct w:val="0"/>
        <w:autoSpaceDE/>
        <w:autoSpaceDN/>
        <w:bidi w:val="0"/>
        <w:spacing w:line="460" w:lineRule="exact"/>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51.</w:t>
      </w:r>
      <w:r>
        <w:rPr>
          <w:rFonts w:hint="eastAsia" w:ascii="宋体" w:hAnsi="宋体" w:eastAsia="宋体" w:cs="宋体"/>
          <w:color w:val="auto"/>
          <w:sz w:val="24"/>
          <w:highlight w:val="none"/>
          <w:lang w:val="en-US" w:eastAsia="zh-CN"/>
        </w:rPr>
        <w:t>7</w:t>
      </w:r>
      <w:r>
        <w:rPr>
          <w:rFonts w:hint="eastAsia" w:ascii="宋体" w:hAnsi="宋体" w:eastAsia="宋体" w:cs="宋体"/>
          <w:color w:val="auto"/>
          <w:sz w:val="24"/>
          <w:highlight w:val="none"/>
        </w:rPr>
        <w:t>施工过程中，资料和工程进度必须同步。每月发包人管理人员对施工进度和资料进行检查，出现问题限期整改，否则罚款1000元人民币。在工程竣工验收前，承包人要按规定将竣工资料交监理验收，由监理出据相应证明后，发包人方可组织验收。发包人支付工程款前，承包人应将档案交于档案馆，并负责在市质量安全监督站备案案。</w:t>
      </w:r>
    </w:p>
    <w:p w14:paraId="34BFAFAD">
      <w:pPr>
        <w:pageBreakBefore w:val="0"/>
        <w:kinsoku/>
        <w:wordWrap/>
        <w:overflowPunct/>
        <w:topLinePunct w:val="0"/>
        <w:autoSpaceDE/>
        <w:autoSpaceDN/>
        <w:bidi w:val="0"/>
        <w:spacing w:line="460" w:lineRule="exact"/>
        <w:jc w:val="left"/>
        <w:textAlignment w:val="auto"/>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51.</w:t>
      </w:r>
      <w:r>
        <w:rPr>
          <w:rFonts w:hint="eastAsia" w:ascii="宋体" w:hAnsi="宋体" w:eastAsia="宋体" w:cs="宋体"/>
          <w:color w:val="auto"/>
          <w:sz w:val="24"/>
          <w:highlight w:val="none"/>
          <w:lang w:val="en-US" w:eastAsia="zh-CN"/>
        </w:rPr>
        <w:t>8</w:t>
      </w:r>
      <w:r>
        <w:rPr>
          <w:rFonts w:hint="eastAsia" w:ascii="宋体" w:hAnsi="宋体" w:eastAsia="宋体" w:cs="宋体"/>
          <w:color w:val="auto"/>
          <w:sz w:val="24"/>
          <w:highlight w:val="none"/>
        </w:rPr>
        <w:t>必须有工程相应的试验室及设备，试验人员及所有施工技术人员必须持证上岗。所用材料的检测费用由承包方承担。 </w:t>
      </w:r>
    </w:p>
    <w:p w14:paraId="74A2F483">
      <w:pPr>
        <w:pageBreakBefore w:val="0"/>
        <w:kinsoku/>
        <w:wordWrap/>
        <w:overflowPunct/>
        <w:topLinePunct w:val="0"/>
        <w:autoSpaceDE/>
        <w:autoSpaceDN/>
        <w:bidi w:val="0"/>
        <w:spacing w:line="460" w:lineRule="exact"/>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51.</w:t>
      </w:r>
      <w:r>
        <w:rPr>
          <w:rFonts w:hint="eastAsia" w:ascii="宋体" w:hAnsi="宋体" w:eastAsia="宋体" w:cs="宋体"/>
          <w:color w:val="auto"/>
          <w:sz w:val="24"/>
          <w:highlight w:val="none"/>
          <w:lang w:val="en-US" w:eastAsia="zh-CN"/>
        </w:rPr>
        <w:t>9</w:t>
      </w:r>
      <w:r>
        <w:rPr>
          <w:rFonts w:hint="eastAsia" w:ascii="宋体" w:hAnsi="宋体" w:eastAsia="宋体" w:cs="宋体"/>
          <w:color w:val="auto"/>
          <w:sz w:val="24"/>
          <w:highlight w:val="none"/>
        </w:rPr>
        <w:t xml:space="preserve">安全管理人员必须持证上岗，并负责检查现场和施工人员安全情况，如监理和发包人管理人员发现有不安全因素存在，每次罚款1000—20000元 。 </w:t>
      </w:r>
    </w:p>
    <w:p w14:paraId="692517D1">
      <w:pPr>
        <w:pageBreakBefore w:val="0"/>
        <w:widowControl/>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附件1：承包人承揽工程项目一览表</w:t>
      </w:r>
    </w:p>
    <w:p w14:paraId="44752EBC">
      <w:pPr>
        <w:pageBreakBefore w:val="0"/>
        <w:widowControl/>
        <w:kinsoku/>
        <w:wordWrap/>
        <w:overflowPunct/>
        <w:topLinePunct w:val="0"/>
        <w:autoSpaceDE/>
        <w:autoSpaceDN/>
        <w:bidi w:val="0"/>
        <w:spacing w:line="460" w:lineRule="exact"/>
        <w:ind w:firstLine="480" w:firstLineChars="2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附件2：发包人供应材料设备一览表</w:t>
      </w:r>
    </w:p>
    <w:p w14:paraId="181E2515">
      <w:pPr>
        <w:pageBreakBefore w:val="0"/>
        <w:widowControl/>
        <w:kinsoku/>
        <w:wordWrap/>
        <w:overflowPunct/>
        <w:topLinePunct w:val="0"/>
        <w:autoSpaceDE/>
        <w:autoSpaceDN/>
        <w:bidi w:val="0"/>
        <w:spacing w:line="460" w:lineRule="exact"/>
        <w:ind w:firstLine="480" w:firstLineChars="200"/>
        <w:textAlignment w:val="auto"/>
        <w:rPr>
          <w:rFonts w:hint="eastAsia" w:ascii="宋体" w:hAnsi="宋体" w:eastAsia="宋体" w:cs="宋体"/>
          <w:b/>
          <w:color w:val="auto"/>
          <w:sz w:val="24"/>
          <w:highlight w:val="none"/>
        </w:rPr>
      </w:pPr>
      <w:r>
        <w:rPr>
          <w:rFonts w:hint="eastAsia" w:ascii="宋体" w:hAnsi="宋体" w:eastAsia="宋体" w:cs="宋体"/>
          <w:color w:val="auto"/>
          <w:kern w:val="0"/>
          <w:sz w:val="24"/>
          <w:highlight w:val="none"/>
        </w:rPr>
        <w:t>附件3：工程质量保修书</w:t>
      </w:r>
    </w:p>
    <w:p w14:paraId="319CF0D5">
      <w:pPr>
        <w:spacing w:before="120" w:beforeLines="50" w:after="120" w:afterLines="50" w:line="400" w:lineRule="exact"/>
        <w:jc w:val="left"/>
        <w:rPr>
          <w:rFonts w:hint="eastAsia" w:ascii="宋体" w:hAnsi="宋体" w:eastAsia="宋体" w:cs="宋体"/>
          <w:b/>
          <w:color w:val="auto"/>
          <w:sz w:val="24"/>
          <w:highlight w:val="none"/>
        </w:rPr>
      </w:pPr>
    </w:p>
    <w:p w14:paraId="54A98E6E">
      <w:pPr>
        <w:spacing w:before="120" w:beforeLines="50" w:after="120" w:afterLines="50" w:line="400" w:lineRule="exact"/>
        <w:jc w:val="left"/>
        <w:rPr>
          <w:rFonts w:hint="eastAsia" w:ascii="宋体" w:hAnsi="宋体" w:eastAsia="宋体" w:cs="宋体"/>
          <w:b/>
          <w:color w:val="auto"/>
          <w:sz w:val="24"/>
          <w:highlight w:val="none"/>
        </w:rPr>
      </w:pPr>
    </w:p>
    <w:p w14:paraId="1019BB02">
      <w:pPr>
        <w:spacing w:before="120" w:beforeLines="50" w:after="120" w:afterLines="50" w:line="400" w:lineRule="exact"/>
        <w:jc w:val="left"/>
        <w:rPr>
          <w:rFonts w:hint="eastAsia" w:ascii="宋体" w:hAnsi="宋体" w:eastAsia="宋体" w:cs="宋体"/>
          <w:b/>
          <w:color w:val="auto"/>
          <w:sz w:val="24"/>
          <w:highlight w:val="none"/>
        </w:rPr>
      </w:pPr>
    </w:p>
    <w:p w14:paraId="2F8E5F6D">
      <w:pPr>
        <w:spacing w:before="120" w:beforeLines="50" w:after="120" w:afterLines="50" w:line="400" w:lineRule="exact"/>
        <w:jc w:val="left"/>
        <w:rPr>
          <w:rFonts w:hint="eastAsia" w:ascii="宋体" w:hAnsi="宋体" w:eastAsia="宋体" w:cs="宋体"/>
          <w:b/>
          <w:color w:val="auto"/>
          <w:sz w:val="24"/>
          <w:highlight w:val="none"/>
        </w:rPr>
      </w:pPr>
    </w:p>
    <w:p w14:paraId="7A962B20">
      <w:pPr>
        <w:spacing w:before="120" w:beforeLines="50" w:after="120" w:afterLines="50" w:line="400" w:lineRule="exact"/>
        <w:jc w:val="left"/>
        <w:rPr>
          <w:rFonts w:hint="eastAsia" w:ascii="宋体" w:hAnsi="宋体" w:eastAsia="宋体" w:cs="宋体"/>
          <w:b/>
          <w:color w:val="auto"/>
          <w:sz w:val="24"/>
          <w:highlight w:val="none"/>
        </w:rPr>
      </w:pPr>
    </w:p>
    <w:p w14:paraId="571463B9">
      <w:pPr>
        <w:spacing w:before="120" w:beforeLines="50" w:after="120" w:afterLines="50" w:line="400" w:lineRule="exact"/>
        <w:jc w:val="left"/>
        <w:rPr>
          <w:rFonts w:hint="eastAsia" w:ascii="宋体" w:hAnsi="宋体" w:eastAsia="宋体" w:cs="宋体"/>
          <w:b/>
          <w:color w:val="auto"/>
          <w:sz w:val="24"/>
          <w:highlight w:val="none"/>
        </w:rPr>
      </w:pPr>
    </w:p>
    <w:p w14:paraId="47F9EABB">
      <w:pPr>
        <w:spacing w:before="120" w:beforeLines="50" w:after="120" w:afterLines="50" w:line="400" w:lineRule="exact"/>
        <w:jc w:val="left"/>
        <w:rPr>
          <w:rFonts w:hint="eastAsia" w:ascii="宋体" w:hAnsi="宋体" w:eastAsia="宋体" w:cs="宋体"/>
          <w:b/>
          <w:color w:val="auto"/>
          <w:sz w:val="24"/>
          <w:highlight w:val="none"/>
        </w:rPr>
      </w:pPr>
    </w:p>
    <w:p w14:paraId="094726EE">
      <w:pPr>
        <w:spacing w:before="120" w:beforeLines="50" w:after="120" w:afterLines="50" w:line="400" w:lineRule="exact"/>
        <w:jc w:val="left"/>
        <w:rPr>
          <w:rFonts w:hint="eastAsia" w:ascii="宋体" w:hAnsi="宋体" w:eastAsia="宋体" w:cs="宋体"/>
          <w:b/>
          <w:color w:val="auto"/>
          <w:sz w:val="24"/>
          <w:highlight w:val="none"/>
        </w:rPr>
      </w:pPr>
    </w:p>
    <w:p w14:paraId="73F0DEDA">
      <w:pPr>
        <w:spacing w:before="120" w:beforeLines="50" w:after="120" w:afterLines="50" w:line="400" w:lineRule="exact"/>
        <w:jc w:val="left"/>
        <w:rPr>
          <w:rFonts w:hint="eastAsia" w:ascii="宋体" w:hAnsi="宋体" w:eastAsia="宋体" w:cs="宋体"/>
          <w:b/>
          <w:color w:val="auto"/>
          <w:sz w:val="24"/>
          <w:highlight w:val="none"/>
        </w:rPr>
      </w:pPr>
    </w:p>
    <w:p w14:paraId="03732458">
      <w:pPr>
        <w:spacing w:before="120" w:beforeLines="50" w:after="120" w:afterLines="50" w:line="400" w:lineRule="exact"/>
        <w:jc w:val="left"/>
        <w:rPr>
          <w:rFonts w:hint="eastAsia" w:ascii="宋体" w:hAnsi="宋体" w:eastAsia="宋体" w:cs="宋体"/>
          <w:b/>
          <w:color w:val="auto"/>
          <w:sz w:val="24"/>
          <w:highlight w:val="none"/>
        </w:rPr>
      </w:pPr>
    </w:p>
    <w:p w14:paraId="74C5CE4A">
      <w:pPr>
        <w:spacing w:before="120" w:beforeLines="50" w:after="120" w:afterLines="50" w:line="400" w:lineRule="exact"/>
        <w:jc w:val="left"/>
        <w:rPr>
          <w:rFonts w:hint="eastAsia" w:ascii="宋体" w:hAnsi="宋体" w:eastAsia="宋体" w:cs="宋体"/>
          <w:b/>
          <w:color w:val="auto"/>
          <w:sz w:val="24"/>
          <w:highlight w:val="none"/>
        </w:rPr>
      </w:pPr>
    </w:p>
    <w:p w14:paraId="03EC14C9">
      <w:pPr>
        <w:spacing w:before="120" w:beforeLines="50" w:after="120" w:afterLines="50" w:line="400" w:lineRule="exact"/>
        <w:jc w:val="left"/>
        <w:rPr>
          <w:rFonts w:hint="eastAsia" w:ascii="宋体" w:hAnsi="宋体" w:eastAsia="宋体" w:cs="宋体"/>
          <w:b/>
          <w:color w:val="auto"/>
          <w:sz w:val="24"/>
          <w:highlight w:val="none"/>
        </w:rPr>
      </w:pPr>
      <w:r>
        <w:rPr>
          <w:rFonts w:hint="eastAsia" w:ascii="宋体" w:hAnsi="宋体" w:eastAsia="宋体" w:cs="宋体"/>
          <w:b/>
          <w:color w:val="auto"/>
          <w:sz w:val="24"/>
          <w:highlight w:val="none"/>
        </w:rPr>
        <w:t>附件1：</w:t>
      </w:r>
    </w:p>
    <w:p w14:paraId="4DA0F722">
      <w:pPr>
        <w:spacing w:before="120" w:beforeLines="50" w:after="120" w:afterLines="50"/>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承包人承揽工程项目一览表</w:t>
      </w:r>
    </w:p>
    <w:tbl>
      <w:tblPr>
        <w:tblStyle w:val="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850"/>
        <w:gridCol w:w="1134"/>
        <w:gridCol w:w="709"/>
        <w:gridCol w:w="709"/>
        <w:gridCol w:w="850"/>
        <w:gridCol w:w="1134"/>
        <w:gridCol w:w="1134"/>
        <w:gridCol w:w="851"/>
        <w:gridCol w:w="850"/>
      </w:tblGrid>
      <w:tr w14:paraId="2F4E63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3" w:hRule="atLeast"/>
        </w:trPr>
        <w:tc>
          <w:tcPr>
            <w:tcW w:w="959" w:type="dxa"/>
            <w:noWrap w:val="0"/>
            <w:vAlign w:val="center"/>
          </w:tcPr>
          <w:p w14:paraId="4FAAE70A">
            <w:pPr>
              <w:spacing w:before="120" w:beforeLines="50" w:after="120" w:afterLines="5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单位工程名称</w:t>
            </w:r>
          </w:p>
        </w:tc>
        <w:tc>
          <w:tcPr>
            <w:tcW w:w="850" w:type="dxa"/>
            <w:noWrap w:val="0"/>
            <w:vAlign w:val="center"/>
          </w:tcPr>
          <w:p w14:paraId="65AA11ED">
            <w:pPr>
              <w:spacing w:before="120" w:beforeLines="50" w:after="120" w:afterLines="5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建设规模</w:t>
            </w:r>
          </w:p>
        </w:tc>
        <w:tc>
          <w:tcPr>
            <w:tcW w:w="1134" w:type="dxa"/>
            <w:noWrap w:val="0"/>
            <w:vAlign w:val="center"/>
          </w:tcPr>
          <w:p w14:paraId="37CBDC4A">
            <w:pPr>
              <w:spacing w:before="120" w:beforeLines="50" w:after="120" w:afterLines="5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建筑面积（㎡）</w:t>
            </w:r>
          </w:p>
        </w:tc>
        <w:tc>
          <w:tcPr>
            <w:tcW w:w="709" w:type="dxa"/>
            <w:noWrap w:val="0"/>
            <w:vAlign w:val="center"/>
          </w:tcPr>
          <w:p w14:paraId="63C62978">
            <w:pPr>
              <w:spacing w:before="120" w:beforeLines="50" w:after="120" w:afterLines="5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结构</w:t>
            </w:r>
          </w:p>
        </w:tc>
        <w:tc>
          <w:tcPr>
            <w:tcW w:w="709" w:type="dxa"/>
            <w:noWrap w:val="0"/>
            <w:vAlign w:val="center"/>
          </w:tcPr>
          <w:p w14:paraId="106C5915">
            <w:pPr>
              <w:spacing w:before="120" w:beforeLines="50" w:after="120" w:afterLines="5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层数</w:t>
            </w:r>
          </w:p>
        </w:tc>
        <w:tc>
          <w:tcPr>
            <w:tcW w:w="850" w:type="dxa"/>
            <w:noWrap w:val="0"/>
            <w:vAlign w:val="center"/>
          </w:tcPr>
          <w:p w14:paraId="45A1C752">
            <w:pPr>
              <w:spacing w:before="120" w:beforeLines="50" w:after="120" w:afterLines="5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跨度（米）</w:t>
            </w:r>
          </w:p>
        </w:tc>
        <w:tc>
          <w:tcPr>
            <w:tcW w:w="1134" w:type="dxa"/>
            <w:noWrap w:val="0"/>
            <w:vAlign w:val="center"/>
          </w:tcPr>
          <w:p w14:paraId="56F165CB">
            <w:pPr>
              <w:spacing w:before="120" w:beforeLines="50" w:after="120" w:afterLines="5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设备安装内容</w:t>
            </w:r>
          </w:p>
        </w:tc>
        <w:tc>
          <w:tcPr>
            <w:tcW w:w="1134" w:type="dxa"/>
            <w:noWrap w:val="0"/>
            <w:vAlign w:val="center"/>
          </w:tcPr>
          <w:p w14:paraId="09C2293A">
            <w:pPr>
              <w:spacing w:before="120" w:beforeLines="50" w:after="120" w:afterLines="5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工程造价（元）</w:t>
            </w:r>
          </w:p>
        </w:tc>
        <w:tc>
          <w:tcPr>
            <w:tcW w:w="851" w:type="dxa"/>
            <w:noWrap w:val="0"/>
            <w:vAlign w:val="center"/>
          </w:tcPr>
          <w:p w14:paraId="5427229E">
            <w:pPr>
              <w:spacing w:before="120" w:beforeLines="50" w:after="120" w:afterLines="5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开工日期</w:t>
            </w:r>
          </w:p>
        </w:tc>
        <w:tc>
          <w:tcPr>
            <w:tcW w:w="850" w:type="dxa"/>
            <w:noWrap w:val="0"/>
            <w:vAlign w:val="center"/>
          </w:tcPr>
          <w:p w14:paraId="66EEECAD">
            <w:pPr>
              <w:spacing w:before="120" w:beforeLines="50" w:after="120" w:afterLines="5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竣工日期</w:t>
            </w:r>
          </w:p>
        </w:tc>
      </w:tr>
      <w:tr w14:paraId="7A99EE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3" w:hRule="atLeast"/>
        </w:trPr>
        <w:tc>
          <w:tcPr>
            <w:tcW w:w="959" w:type="dxa"/>
            <w:noWrap w:val="0"/>
            <w:vAlign w:val="center"/>
          </w:tcPr>
          <w:p w14:paraId="1C1B535E">
            <w:pPr>
              <w:spacing w:before="120" w:beforeLines="50" w:after="120" w:afterLines="50"/>
              <w:jc w:val="center"/>
              <w:rPr>
                <w:rFonts w:hint="eastAsia" w:ascii="宋体" w:hAnsi="宋体" w:eastAsia="宋体" w:cs="宋体"/>
                <w:color w:val="auto"/>
                <w:sz w:val="24"/>
                <w:highlight w:val="none"/>
              </w:rPr>
            </w:pPr>
          </w:p>
        </w:tc>
        <w:tc>
          <w:tcPr>
            <w:tcW w:w="850" w:type="dxa"/>
            <w:noWrap w:val="0"/>
            <w:vAlign w:val="center"/>
          </w:tcPr>
          <w:p w14:paraId="04FA842D">
            <w:pPr>
              <w:spacing w:before="120" w:beforeLines="50" w:after="120" w:afterLines="50"/>
              <w:jc w:val="center"/>
              <w:rPr>
                <w:rFonts w:hint="eastAsia" w:ascii="宋体" w:hAnsi="宋体" w:eastAsia="宋体" w:cs="宋体"/>
                <w:color w:val="auto"/>
                <w:sz w:val="24"/>
                <w:highlight w:val="none"/>
              </w:rPr>
            </w:pPr>
          </w:p>
        </w:tc>
        <w:tc>
          <w:tcPr>
            <w:tcW w:w="1134" w:type="dxa"/>
            <w:noWrap w:val="0"/>
            <w:vAlign w:val="center"/>
          </w:tcPr>
          <w:p w14:paraId="38BF50B4">
            <w:pPr>
              <w:spacing w:before="120" w:beforeLines="50" w:after="120" w:afterLines="50"/>
              <w:jc w:val="center"/>
              <w:rPr>
                <w:rFonts w:hint="eastAsia" w:ascii="宋体" w:hAnsi="宋体" w:eastAsia="宋体" w:cs="宋体"/>
                <w:color w:val="auto"/>
                <w:sz w:val="24"/>
                <w:highlight w:val="none"/>
              </w:rPr>
            </w:pPr>
          </w:p>
        </w:tc>
        <w:tc>
          <w:tcPr>
            <w:tcW w:w="709" w:type="dxa"/>
            <w:noWrap w:val="0"/>
            <w:vAlign w:val="center"/>
          </w:tcPr>
          <w:p w14:paraId="0AEC8849">
            <w:pPr>
              <w:spacing w:before="120" w:beforeLines="50" w:after="120" w:afterLines="50"/>
              <w:jc w:val="center"/>
              <w:rPr>
                <w:rFonts w:hint="eastAsia" w:ascii="宋体" w:hAnsi="宋体" w:eastAsia="宋体" w:cs="宋体"/>
                <w:color w:val="auto"/>
                <w:sz w:val="24"/>
                <w:highlight w:val="none"/>
              </w:rPr>
            </w:pPr>
          </w:p>
        </w:tc>
        <w:tc>
          <w:tcPr>
            <w:tcW w:w="709" w:type="dxa"/>
            <w:noWrap w:val="0"/>
            <w:vAlign w:val="center"/>
          </w:tcPr>
          <w:p w14:paraId="46B5C228">
            <w:pPr>
              <w:spacing w:before="120" w:beforeLines="50" w:after="120" w:afterLines="50"/>
              <w:jc w:val="center"/>
              <w:rPr>
                <w:rFonts w:hint="eastAsia" w:ascii="宋体" w:hAnsi="宋体" w:eastAsia="宋体" w:cs="宋体"/>
                <w:color w:val="auto"/>
                <w:sz w:val="24"/>
                <w:highlight w:val="none"/>
              </w:rPr>
            </w:pPr>
          </w:p>
        </w:tc>
        <w:tc>
          <w:tcPr>
            <w:tcW w:w="850" w:type="dxa"/>
            <w:noWrap w:val="0"/>
            <w:vAlign w:val="center"/>
          </w:tcPr>
          <w:p w14:paraId="6297BE37">
            <w:pPr>
              <w:spacing w:before="120" w:beforeLines="50" w:after="120" w:afterLines="50"/>
              <w:jc w:val="center"/>
              <w:rPr>
                <w:rFonts w:hint="eastAsia" w:ascii="宋体" w:hAnsi="宋体" w:eastAsia="宋体" w:cs="宋体"/>
                <w:color w:val="auto"/>
                <w:sz w:val="24"/>
                <w:highlight w:val="none"/>
              </w:rPr>
            </w:pPr>
          </w:p>
        </w:tc>
        <w:tc>
          <w:tcPr>
            <w:tcW w:w="1134" w:type="dxa"/>
            <w:noWrap w:val="0"/>
            <w:vAlign w:val="center"/>
          </w:tcPr>
          <w:p w14:paraId="26A05A15">
            <w:pPr>
              <w:spacing w:before="120" w:beforeLines="50" w:after="120" w:afterLines="50"/>
              <w:jc w:val="center"/>
              <w:rPr>
                <w:rFonts w:hint="eastAsia" w:ascii="宋体" w:hAnsi="宋体" w:eastAsia="宋体" w:cs="宋体"/>
                <w:color w:val="auto"/>
                <w:sz w:val="24"/>
                <w:highlight w:val="none"/>
              </w:rPr>
            </w:pPr>
          </w:p>
        </w:tc>
        <w:tc>
          <w:tcPr>
            <w:tcW w:w="1134" w:type="dxa"/>
            <w:noWrap w:val="0"/>
            <w:vAlign w:val="center"/>
          </w:tcPr>
          <w:p w14:paraId="58187F48">
            <w:pPr>
              <w:spacing w:before="120" w:beforeLines="50" w:after="120" w:afterLines="50"/>
              <w:jc w:val="center"/>
              <w:rPr>
                <w:rFonts w:hint="eastAsia" w:ascii="宋体" w:hAnsi="宋体" w:eastAsia="宋体" w:cs="宋体"/>
                <w:color w:val="auto"/>
                <w:sz w:val="24"/>
                <w:highlight w:val="none"/>
              </w:rPr>
            </w:pPr>
          </w:p>
        </w:tc>
        <w:tc>
          <w:tcPr>
            <w:tcW w:w="851" w:type="dxa"/>
            <w:noWrap w:val="0"/>
            <w:vAlign w:val="center"/>
          </w:tcPr>
          <w:p w14:paraId="4FF203CA">
            <w:pPr>
              <w:spacing w:before="120" w:beforeLines="50" w:after="120" w:afterLines="50"/>
              <w:jc w:val="center"/>
              <w:rPr>
                <w:rFonts w:hint="eastAsia" w:ascii="宋体" w:hAnsi="宋体" w:eastAsia="宋体" w:cs="宋体"/>
                <w:color w:val="auto"/>
                <w:sz w:val="24"/>
                <w:highlight w:val="none"/>
              </w:rPr>
            </w:pPr>
          </w:p>
        </w:tc>
        <w:tc>
          <w:tcPr>
            <w:tcW w:w="850" w:type="dxa"/>
            <w:noWrap w:val="0"/>
            <w:vAlign w:val="center"/>
          </w:tcPr>
          <w:p w14:paraId="2B2E1A7B">
            <w:pPr>
              <w:spacing w:before="120" w:beforeLines="50" w:after="120" w:afterLines="50"/>
              <w:jc w:val="center"/>
              <w:rPr>
                <w:rFonts w:hint="eastAsia" w:ascii="宋体" w:hAnsi="宋体" w:eastAsia="宋体" w:cs="宋体"/>
                <w:color w:val="auto"/>
                <w:sz w:val="24"/>
                <w:highlight w:val="none"/>
              </w:rPr>
            </w:pPr>
          </w:p>
        </w:tc>
      </w:tr>
      <w:tr w14:paraId="402CD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3" w:hRule="atLeast"/>
        </w:trPr>
        <w:tc>
          <w:tcPr>
            <w:tcW w:w="959" w:type="dxa"/>
            <w:noWrap w:val="0"/>
            <w:vAlign w:val="center"/>
          </w:tcPr>
          <w:p w14:paraId="72C1D975">
            <w:pPr>
              <w:spacing w:before="120" w:beforeLines="50" w:after="120" w:afterLines="50"/>
              <w:jc w:val="center"/>
              <w:rPr>
                <w:rFonts w:hint="eastAsia" w:ascii="宋体" w:hAnsi="宋体" w:eastAsia="宋体" w:cs="宋体"/>
                <w:color w:val="auto"/>
                <w:sz w:val="24"/>
                <w:highlight w:val="none"/>
              </w:rPr>
            </w:pPr>
          </w:p>
        </w:tc>
        <w:tc>
          <w:tcPr>
            <w:tcW w:w="850" w:type="dxa"/>
            <w:noWrap w:val="0"/>
            <w:vAlign w:val="center"/>
          </w:tcPr>
          <w:p w14:paraId="450B8EB0">
            <w:pPr>
              <w:spacing w:before="120" w:beforeLines="50" w:after="120" w:afterLines="50"/>
              <w:jc w:val="center"/>
              <w:rPr>
                <w:rFonts w:hint="eastAsia" w:ascii="宋体" w:hAnsi="宋体" w:eastAsia="宋体" w:cs="宋体"/>
                <w:color w:val="auto"/>
                <w:sz w:val="24"/>
                <w:highlight w:val="none"/>
              </w:rPr>
            </w:pPr>
          </w:p>
        </w:tc>
        <w:tc>
          <w:tcPr>
            <w:tcW w:w="1134" w:type="dxa"/>
            <w:noWrap w:val="0"/>
            <w:vAlign w:val="center"/>
          </w:tcPr>
          <w:p w14:paraId="4890BF03">
            <w:pPr>
              <w:spacing w:before="120" w:beforeLines="50" w:after="120" w:afterLines="50"/>
              <w:jc w:val="center"/>
              <w:rPr>
                <w:rFonts w:hint="eastAsia" w:ascii="宋体" w:hAnsi="宋体" w:eastAsia="宋体" w:cs="宋体"/>
                <w:color w:val="auto"/>
                <w:sz w:val="24"/>
                <w:highlight w:val="none"/>
              </w:rPr>
            </w:pPr>
          </w:p>
        </w:tc>
        <w:tc>
          <w:tcPr>
            <w:tcW w:w="709" w:type="dxa"/>
            <w:noWrap w:val="0"/>
            <w:vAlign w:val="center"/>
          </w:tcPr>
          <w:p w14:paraId="39204B3A">
            <w:pPr>
              <w:spacing w:before="120" w:beforeLines="50" w:after="120" w:afterLines="50"/>
              <w:jc w:val="center"/>
              <w:rPr>
                <w:rFonts w:hint="eastAsia" w:ascii="宋体" w:hAnsi="宋体" w:eastAsia="宋体" w:cs="宋体"/>
                <w:color w:val="auto"/>
                <w:sz w:val="24"/>
                <w:highlight w:val="none"/>
              </w:rPr>
            </w:pPr>
          </w:p>
        </w:tc>
        <w:tc>
          <w:tcPr>
            <w:tcW w:w="709" w:type="dxa"/>
            <w:noWrap w:val="0"/>
            <w:vAlign w:val="center"/>
          </w:tcPr>
          <w:p w14:paraId="2C252E45">
            <w:pPr>
              <w:spacing w:before="120" w:beforeLines="50" w:after="120" w:afterLines="50"/>
              <w:jc w:val="center"/>
              <w:rPr>
                <w:rFonts w:hint="eastAsia" w:ascii="宋体" w:hAnsi="宋体" w:eastAsia="宋体" w:cs="宋体"/>
                <w:color w:val="auto"/>
                <w:sz w:val="24"/>
                <w:highlight w:val="none"/>
              </w:rPr>
            </w:pPr>
          </w:p>
        </w:tc>
        <w:tc>
          <w:tcPr>
            <w:tcW w:w="850" w:type="dxa"/>
            <w:noWrap w:val="0"/>
            <w:vAlign w:val="center"/>
          </w:tcPr>
          <w:p w14:paraId="58719EE0">
            <w:pPr>
              <w:spacing w:before="120" w:beforeLines="50" w:after="120" w:afterLines="50"/>
              <w:jc w:val="center"/>
              <w:rPr>
                <w:rFonts w:hint="eastAsia" w:ascii="宋体" w:hAnsi="宋体" w:eastAsia="宋体" w:cs="宋体"/>
                <w:color w:val="auto"/>
                <w:sz w:val="24"/>
                <w:highlight w:val="none"/>
              </w:rPr>
            </w:pPr>
          </w:p>
        </w:tc>
        <w:tc>
          <w:tcPr>
            <w:tcW w:w="1134" w:type="dxa"/>
            <w:noWrap w:val="0"/>
            <w:vAlign w:val="center"/>
          </w:tcPr>
          <w:p w14:paraId="148AD0D7">
            <w:pPr>
              <w:spacing w:before="120" w:beforeLines="50" w:after="120" w:afterLines="50"/>
              <w:jc w:val="center"/>
              <w:rPr>
                <w:rFonts w:hint="eastAsia" w:ascii="宋体" w:hAnsi="宋体" w:eastAsia="宋体" w:cs="宋体"/>
                <w:color w:val="auto"/>
                <w:sz w:val="24"/>
                <w:highlight w:val="none"/>
              </w:rPr>
            </w:pPr>
          </w:p>
        </w:tc>
        <w:tc>
          <w:tcPr>
            <w:tcW w:w="1134" w:type="dxa"/>
            <w:noWrap w:val="0"/>
            <w:vAlign w:val="center"/>
          </w:tcPr>
          <w:p w14:paraId="5AD07EFF">
            <w:pPr>
              <w:spacing w:before="120" w:beforeLines="50" w:after="120" w:afterLines="50"/>
              <w:jc w:val="center"/>
              <w:rPr>
                <w:rFonts w:hint="eastAsia" w:ascii="宋体" w:hAnsi="宋体" w:eastAsia="宋体" w:cs="宋体"/>
                <w:color w:val="auto"/>
                <w:sz w:val="24"/>
                <w:highlight w:val="none"/>
              </w:rPr>
            </w:pPr>
          </w:p>
        </w:tc>
        <w:tc>
          <w:tcPr>
            <w:tcW w:w="851" w:type="dxa"/>
            <w:noWrap w:val="0"/>
            <w:vAlign w:val="center"/>
          </w:tcPr>
          <w:p w14:paraId="23A4D653">
            <w:pPr>
              <w:spacing w:before="120" w:beforeLines="50" w:after="120" w:afterLines="50"/>
              <w:jc w:val="center"/>
              <w:rPr>
                <w:rFonts w:hint="eastAsia" w:ascii="宋体" w:hAnsi="宋体" w:eastAsia="宋体" w:cs="宋体"/>
                <w:color w:val="auto"/>
                <w:sz w:val="24"/>
                <w:highlight w:val="none"/>
              </w:rPr>
            </w:pPr>
          </w:p>
        </w:tc>
        <w:tc>
          <w:tcPr>
            <w:tcW w:w="850" w:type="dxa"/>
            <w:noWrap w:val="0"/>
            <w:vAlign w:val="center"/>
          </w:tcPr>
          <w:p w14:paraId="71F0E912">
            <w:pPr>
              <w:spacing w:before="120" w:beforeLines="50" w:after="120" w:afterLines="50"/>
              <w:jc w:val="center"/>
              <w:rPr>
                <w:rFonts w:hint="eastAsia" w:ascii="宋体" w:hAnsi="宋体" w:eastAsia="宋体" w:cs="宋体"/>
                <w:color w:val="auto"/>
                <w:sz w:val="24"/>
                <w:highlight w:val="none"/>
              </w:rPr>
            </w:pPr>
          </w:p>
        </w:tc>
      </w:tr>
      <w:tr w14:paraId="3B9ECC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3" w:hRule="atLeast"/>
        </w:trPr>
        <w:tc>
          <w:tcPr>
            <w:tcW w:w="959" w:type="dxa"/>
            <w:noWrap w:val="0"/>
            <w:vAlign w:val="center"/>
          </w:tcPr>
          <w:p w14:paraId="69BAB77B">
            <w:pPr>
              <w:spacing w:before="120" w:beforeLines="50" w:after="120" w:afterLines="50"/>
              <w:jc w:val="center"/>
              <w:rPr>
                <w:rFonts w:hint="eastAsia" w:ascii="宋体" w:hAnsi="宋体" w:eastAsia="宋体" w:cs="宋体"/>
                <w:color w:val="auto"/>
                <w:sz w:val="24"/>
                <w:highlight w:val="none"/>
              </w:rPr>
            </w:pPr>
          </w:p>
        </w:tc>
        <w:tc>
          <w:tcPr>
            <w:tcW w:w="850" w:type="dxa"/>
            <w:noWrap w:val="0"/>
            <w:vAlign w:val="center"/>
          </w:tcPr>
          <w:p w14:paraId="2C61F8FF">
            <w:pPr>
              <w:spacing w:before="120" w:beforeLines="50" w:after="120" w:afterLines="50"/>
              <w:jc w:val="center"/>
              <w:rPr>
                <w:rFonts w:hint="eastAsia" w:ascii="宋体" w:hAnsi="宋体" w:eastAsia="宋体" w:cs="宋体"/>
                <w:color w:val="auto"/>
                <w:sz w:val="24"/>
                <w:highlight w:val="none"/>
              </w:rPr>
            </w:pPr>
          </w:p>
        </w:tc>
        <w:tc>
          <w:tcPr>
            <w:tcW w:w="1134" w:type="dxa"/>
            <w:noWrap w:val="0"/>
            <w:vAlign w:val="center"/>
          </w:tcPr>
          <w:p w14:paraId="0EF16888">
            <w:pPr>
              <w:spacing w:before="120" w:beforeLines="50" w:after="120" w:afterLines="50"/>
              <w:jc w:val="center"/>
              <w:rPr>
                <w:rFonts w:hint="eastAsia" w:ascii="宋体" w:hAnsi="宋体" w:eastAsia="宋体" w:cs="宋体"/>
                <w:color w:val="auto"/>
                <w:sz w:val="24"/>
                <w:highlight w:val="none"/>
              </w:rPr>
            </w:pPr>
          </w:p>
        </w:tc>
        <w:tc>
          <w:tcPr>
            <w:tcW w:w="709" w:type="dxa"/>
            <w:noWrap w:val="0"/>
            <w:vAlign w:val="center"/>
          </w:tcPr>
          <w:p w14:paraId="2F78C122">
            <w:pPr>
              <w:spacing w:before="120" w:beforeLines="50" w:after="120" w:afterLines="50"/>
              <w:jc w:val="center"/>
              <w:rPr>
                <w:rFonts w:hint="eastAsia" w:ascii="宋体" w:hAnsi="宋体" w:eastAsia="宋体" w:cs="宋体"/>
                <w:color w:val="auto"/>
                <w:sz w:val="24"/>
                <w:highlight w:val="none"/>
              </w:rPr>
            </w:pPr>
          </w:p>
        </w:tc>
        <w:tc>
          <w:tcPr>
            <w:tcW w:w="709" w:type="dxa"/>
            <w:noWrap w:val="0"/>
            <w:vAlign w:val="center"/>
          </w:tcPr>
          <w:p w14:paraId="0AFFFA69">
            <w:pPr>
              <w:spacing w:before="120" w:beforeLines="50" w:after="120" w:afterLines="50"/>
              <w:jc w:val="center"/>
              <w:rPr>
                <w:rFonts w:hint="eastAsia" w:ascii="宋体" w:hAnsi="宋体" w:eastAsia="宋体" w:cs="宋体"/>
                <w:color w:val="auto"/>
                <w:sz w:val="24"/>
                <w:highlight w:val="none"/>
              </w:rPr>
            </w:pPr>
          </w:p>
        </w:tc>
        <w:tc>
          <w:tcPr>
            <w:tcW w:w="850" w:type="dxa"/>
            <w:noWrap w:val="0"/>
            <w:vAlign w:val="center"/>
          </w:tcPr>
          <w:p w14:paraId="017D6B17">
            <w:pPr>
              <w:spacing w:before="120" w:beforeLines="50" w:after="120" w:afterLines="50"/>
              <w:jc w:val="center"/>
              <w:rPr>
                <w:rFonts w:hint="eastAsia" w:ascii="宋体" w:hAnsi="宋体" w:eastAsia="宋体" w:cs="宋体"/>
                <w:color w:val="auto"/>
                <w:sz w:val="24"/>
                <w:highlight w:val="none"/>
              </w:rPr>
            </w:pPr>
          </w:p>
        </w:tc>
        <w:tc>
          <w:tcPr>
            <w:tcW w:w="1134" w:type="dxa"/>
            <w:noWrap w:val="0"/>
            <w:vAlign w:val="center"/>
          </w:tcPr>
          <w:p w14:paraId="754CA96A">
            <w:pPr>
              <w:spacing w:before="120" w:beforeLines="50" w:after="120" w:afterLines="50"/>
              <w:jc w:val="center"/>
              <w:rPr>
                <w:rFonts w:hint="eastAsia" w:ascii="宋体" w:hAnsi="宋体" w:eastAsia="宋体" w:cs="宋体"/>
                <w:color w:val="auto"/>
                <w:sz w:val="24"/>
                <w:highlight w:val="none"/>
              </w:rPr>
            </w:pPr>
          </w:p>
        </w:tc>
        <w:tc>
          <w:tcPr>
            <w:tcW w:w="1134" w:type="dxa"/>
            <w:noWrap w:val="0"/>
            <w:vAlign w:val="center"/>
          </w:tcPr>
          <w:p w14:paraId="4BB65434">
            <w:pPr>
              <w:spacing w:before="120" w:beforeLines="50" w:after="120" w:afterLines="50"/>
              <w:jc w:val="center"/>
              <w:rPr>
                <w:rFonts w:hint="eastAsia" w:ascii="宋体" w:hAnsi="宋体" w:eastAsia="宋体" w:cs="宋体"/>
                <w:color w:val="auto"/>
                <w:sz w:val="24"/>
                <w:highlight w:val="none"/>
              </w:rPr>
            </w:pPr>
          </w:p>
        </w:tc>
        <w:tc>
          <w:tcPr>
            <w:tcW w:w="851" w:type="dxa"/>
            <w:noWrap w:val="0"/>
            <w:vAlign w:val="center"/>
          </w:tcPr>
          <w:p w14:paraId="4211E4D9">
            <w:pPr>
              <w:spacing w:before="120" w:beforeLines="50" w:after="120" w:afterLines="50"/>
              <w:jc w:val="center"/>
              <w:rPr>
                <w:rFonts w:hint="eastAsia" w:ascii="宋体" w:hAnsi="宋体" w:eastAsia="宋体" w:cs="宋体"/>
                <w:color w:val="auto"/>
                <w:sz w:val="24"/>
                <w:highlight w:val="none"/>
              </w:rPr>
            </w:pPr>
          </w:p>
        </w:tc>
        <w:tc>
          <w:tcPr>
            <w:tcW w:w="850" w:type="dxa"/>
            <w:noWrap w:val="0"/>
            <w:vAlign w:val="center"/>
          </w:tcPr>
          <w:p w14:paraId="4973F2BD">
            <w:pPr>
              <w:spacing w:before="120" w:beforeLines="50" w:after="120" w:afterLines="50"/>
              <w:jc w:val="center"/>
              <w:rPr>
                <w:rFonts w:hint="eastAsia" w:ascii="宋体" w:hAnsi="宋体" w:eastAsia="宋体" w:cs="宋体"/>
                <w:color w:val="auto"/>
                <w:sz w:val="24"/>
                <w:highlight w:val="none"/>
              </w:rPr>
            </w:pPr>
          </w:p>
        </w:tc>
      </w:tr>
      <w:tr w14:paraId="0683B0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3" w:hRule="atLeast"/>
        </w:trPr>
        <w:tc>
          <w:tcPr>
            <w:tcW w:w="959" w:type="dxa"/>
            <w:noWrap w:val="0"/>
            <w:vAlign w:val="center"/>
          </w:tcPr>
          <w:p w14:paraId="6DE3F993">
            <w:pPr>
              <w:spacing w:before="120" w:beforeLines="50" w:after="120" w:afterLines="50"/>
              <w:jc w:val="center"/>
              <w:rPr>
                <w:rFonts w:hint="eastAsia" w:ascii="宋体" w:hAnsi="宋体" w:eastAsia="宋体" w:cs="宋体"/>
                <w:color w:val="auto"/>
                <w:sz w:val="24"/>
                <w:highlight w:val="none"/>
              </w:rPr>
            </w:pPr>
          </w:p>
        </w:tc>
        <w:tc>
          <w:tcPr>
            <w:tcW w:w="850" w:type="dxa"/>
            <w:noWrap w:val="0"/>
            <w:vAlign w:val="center"/>
          </w:tcPr>
          <w:p w14:paraId="1B4EE054">
            <w:pPr>
              <w:spacing w:before="120" w:beforeLines="50" w:after="120" w:afterLines="50"/>
              <w:jc w:val="center"/>
              <w:rPr>
                <w:rFonts w:hint="eastAsia" w:ascii="宋体" w:hAnsi="宋体" w:eastAsia="宋体" w:cs="宋体"/>
                <w:color w:val="auto"/>
                <w:sz w:val="24"/>
                <w:highlight w:val="none"/>
              </w:rPr>
            </w:pPr>
          </w:p>
        </w:tc>
        <w:tc>
          <w:tcPr>
            <w:tcW w:w="1134" w:type="dxa"/>
            <w:noWrap w:val="0"/>
            <w:vAlign w:val="center"/>
          </w:tcPr>
          <w:p w14:paraId="1FDF6A1F">
            <w:pPr>
              <w:spacing w:before="120" w:beforeLines="50" w:after="120" w:afterLines="50"/>
              <w:jc w:val="center"/>
              <w:rPr>
                <w:rFonts w:hint="eastAsia" w:ascii="宋体" w:hAnsi="宋体" w:eastAsia="宋体" w:cs="宋体"/>
                <w:color w:val="auto"/>
                <w:sz w:val="24"/>
                <w:highlight w:val="none"/>
              </w:rPr>
            </w:pPr>
          </w:p>
        </w:tc>
        <w:tc>
          <w:tcPr>
            <w:tcW w:w="709" w:type="dxa"/>
            <w:noWrap w:val="0"/>
            <w:vAlign w:val="center"/>
          </w:tcPr>
          <w:p w14:paraId="7DAE1BB7">
            <w:pPr>
              <w:spacing w:before="120" w:beforeLines="50" w:after="120" w:afterLines="50"/>
              <w:jc w:val="center"/>
              <w:rPr>
                <w:rFonts w:hint="eastAsia" w:ascii="宋体" w:hAnsi="宋体" w:eastAsia="宋体" w:cs="宋体"/>
                <w:color w:val="auto"/>
                <w:sz w:val="24"/>
                <w:highlight w:val="none"/>
              </w:rPr>
            </w:pPr>
          </w:p>
        </w:tc>
        <w:tc>
          <w:tcPr>
            <w:tcW w:w="709" w:type="dxa"/>
            <w:noWrap w:val="0"/>
            <w:vAlign w:val="center"/>
          </w:tcPr>
          <w:p w14:paraId="6E5886BB">
            <w:pPr>
              <w:spacing w:before="120" w:beforeLines="50" w:after="120" w:afterLines="50"/>
              <w:jc w:val="center"/>
              <w:rPr>
                <w:rFonts w:hint="eastAsia" w:ascii="宋体" w:hAnsi="宋体" w:eastAsia="宋体" w:cs="宋体"/>
                <w:color w:val="auto"/>
                <w:sz w:val="24"/>
                <w:highlight w:val="none"/>
              </w:rPr>
            </w:pPr>
          </w:p>
        </w:tc>
        <w:tc>
          <w:tcPr>
            <w:tcW w:w="850" w:type="dxa"/>
            <w:noWrap w:val="0"/>
            <w:vAlign w:val="center"/>
          </w:tcPr>
          <w:p w14:paraId="49935558">
            <w:pPr>
              <w:spacing w:before="120" w:beforeLines="50" w:after="120" w:afterLines="50"/>
              <w:jc w:val="center"/>
              <w:rPr>
                <w:rFonts w:hint="eastAsia" w:ascii="宋体" w:hAnsi="宋体" w:eastAsia="宋体" w:cs="宋体"/>
                <w:color w:val="auto"/>
                <w:sz w:val="24"/>
                <w:highlight w:val="none"/>
              </w:rPr>
            </w:pPr>
          </w:p>
        </w:tc>
        <w:tc>
          <w:tcPr>
            <w:tcW w:w="1134" w:type="dxa"/>
            <w:noWrap w:val="0"/>
            <w:vAlign w:val="center"/>
          </w:tcPr>
          <w:p w14:paraId="42263A86">
            <w:pPr>
              <w:spacing w:before="120" w:beforeLines="50" w:after="120" w:afterLines="50"/>
              <w:jc w:val="center"/>
              <w:rPr>
                <w:rFonts w:hint="eastAsia" w:ascii="宋体" w:hAnsi="宋体" w:eastAsia="宋体" w:cs="宋体"/>
                <w:color w:val="auto"/>
                <w:sz w:val="24"/>
                <w:highlight w:val="none"/>
              </w:rPr>
            </w:pPr>
          </w:p>
        </w:tc>
        <w:tc>
          <w:tcPr>
            <w:tcW w:w="1134" w:type="dxa"/>
            <w:noWrap w:val="0"/>
            <w:vAlign w:val="center"/>
          </w:tcPr>
          <w:p w14:paraId="784A80D1">
            <w:pPr>
              <w:spacing w:before="120" w:beforeLines="50" w:after="120" w:afterLines="50"/>
              <w:jc w:val="center"/>
              <w:rPr>
                <w:rFonts w:hint="eastAsia" w:ascii="宋体" w:hAnsi="宋体" w:eastAsia="宋体" w:cs="宋体"/>
                <w:color w:val="auto"/>
                <w:sz w:val="24"/>
                <w:highlight w:val="none"/>
              </w:rPr>
            </w:pPr>
          </w:p>
        </w:tc>
        <w:tc>
          <w:tcPr>
            <w:tcW w:w="851" w:type="dxa"/>
            <w:noWrap w:val="0"/>
            <w:vAlign w:val="center"/>
          </w:tcPr>
          <w:p w14:paraId="21A9F2DA">
            <w:pPr>
              <w:spacing w:before="120" w:beforeLines="50" w:after="120" w:afterLines="50"/>
              <w:jc w:val="center"/>
              <w:rPr>
                <w:rFonts w:hint="eastAsia" w:ascii="宋体" w:hAnsi="宋体" w:eastAsia="宋体" w:cs="宋体"/>
                <w:color w:val="auto"/>
                <w:sz w:val="24"/>
                <w:highlight w:val="none"/>
              </w:rPr>
            </w:pPr>
          </w:p>
        </w:tc>
        <w:tc>
          <w:tcPr>
            <w:tcW w:w="850" w:type="dxa"/>
            <w:noWrap w:val="0"/>
            <w:vAlign w:val="center"/>
          </w:tcPr>
          <w:p w14:paraId="09C77DA2">
            <w:pPr>
              <w:spacing w:before="120" w:beforeLines="50" w:after="120" w:afterLines="50"/>
              <w:jc w:val="center"/>
              <w:rPr>
                <w:rFonts w:hint="eastAsia" w:ascii="宋体" w:hAnsi="宋体" w:eastAsia="宋体" w:cs="宋体"/>
                <w:color w:val="auto"/>
                <w:sz w:val="24"/>
                <w:highlight w:val="none"/>
              </w:rPr>
            </w:pPr>
          </w:p>
        </w:tc>
      </w:tr>
      <w:tr w14:paraId="17C16D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3" w:hRule="atLeast"/>
        </w:trPr>
        <w:tc>
          <w:tcPr>
            <w:tcW w:w="959" w:type="dxa"/>
            <w:noWrap w:val="0"/>
            <w:vAlign w:val="center"/>
          </w:tcPr>
          <w:p w14:paraId="6127FD94">
            <w:pPr>
              <w:spacing w:before="120" w:beforeLines="50" w:after="120" w:afterLines="50"/>
              <w:jc w:val="center"/>
              <w:rPr>
                <w:rFonts w:hint="eastAsia" w:ascii="宋体" w:hAnsi="宋体" w:eastAsia="宋体" w:cs="宋体"/>
                <w:color w:val="auto"/>
                <w:sz w:val="24"/>
                <w:highlight w:val="none"/>
              </w:rPr>
            </w:pPr>
          </w:p>
        </w:tc>
        <w:tc>
          <w:tcPr>
            <w:tcW w:w="850" w:type="dxa"/>
            <w:noWrap w:val="0"/>
            <w:vAlign w:val="center"/>
          </w:tcPr>
          <w:p w14:paraId="05C91809">
            <w:pPr>
              <w:spacing w:before="120" w:beforeLines="50" w:after="120" w:afterLines="50"/>
              <w:jc w:val="center"/>
              <w:rPr>
                <w:rFonts w:hint="eastAsia" w:ascii="宋体" w:hAnsi="宋体" w:eastAsia="宋体" w:cs="宋体"/>
                <w:color w:val="auto"/>
                <w:sz w:val="24"/>
                <w:highlight w:val="none"/>
              </w:rPr>
            </w:pPr>
          </w:p>
        </w:tc>
        <w:tc>
          <w:tcPr>
            <w:tcW w:w="1134" w:type="dxa"/>
            <w:noWrap w:val="0"/>
            <w:vAlign w:val="center"/>
          </w:tcPr>
          <w:p w14:paraId="3B4657A7">
            <w:pPr>
              <w:spacing w:before="120" w:beforeLines="50" w:after="120" w:afterLines="50"/>
              <w:jc w:val="center"/>
              <w:rPr>
                <w:rFonts w:hint="eastAsia" w:ascii="宋体" w:hAnsi="宋体" w:eastAsia="宋体" w:cs="宋体"/>
                <w:color w:val="auto"/>
                <w:sz w:val="24"/>
                <w:highlight w:val="none"/>
              </w:rPr>
            </w:pPr>
          </w:p>
        </w:tc>
        <w:tc>
          <w:tcPr>
            <w:tcW w:w="709" w:type="dxa"/>
            <w:noWrap w:val="0"/>
            <w:vAlign w:val="center"/>
          </w:tcPr>
          <w:p w14:paraId="65424DB9">
            <w:pPr>
              <w:spacing w:before="120" w:beforeLines="50" w:after="120" w:afterLines="50"/>
              <w:jc w:val="center"/>
              <w:rPr>
                <w:rFonts w:hint="eastAsia" w:ascii="宋体" w:hAnsi="宋体" w:eastAsia="宋体" w:cs="宋体"/>
                <w:color w:val="auto"/>
                <w:sz w:val="24"/>
                <w:highlight w:val="none"/>
              </w:rPr>
            </w:pPr>
          </w:p>
        </w:tc>
        <w:tc>
          <w:tcPr>
            <w:tcW w:w="709" w:type="dxa"/>
            <w:noWrap w:val="0"/>
            <w:vAlign w:val="center"/>
          </w:tcPr>
          <w:p w14:paraId="3C88218D">
            <w:pPr>
              <w:spacing w:before="120" w:beforeLines="50" w:after="120" w:afterLines="50"/>
              <w:jc w:val="center"/>
              <w:rPr>
                <w:rFonts w:hint="eastAsia" w:ascii="宋体" w:hAnsi="宋体" w:eastAsia="宋体" w:cs="宋体"/>
                <w:color w:val="auto"/>
                <w:sz w:val="24"/>
                <w:highlight w:val="none"/>
              </w:rPr>
            </w:pPr>
          </w:p>
        </w:tc>
        <w:tc>
          <w:tcPr>
            <w:tcW w:w="850" w:type="dxa"/>
            <w:noWrap w:val="0"/>
            <w:vAlign w:val="center"/>
          </w:tcPr>
          <w:p w14:paraId="095D2FE7">
            <w:pPr>
              <w:spacing w:before="120" w:beforeLines="50" w:after="120" w:afterLines="50"/>
              <w:jc w:val="center"/>
              <w:rPr>
                <w:rFonts w:hint="eastAsia" w:ascii="宋体" w:hAnsi="宋体" w:eastAsia="宋体" w:cs="宋体"/>
                <w:color w:val="auto"/>
                <w:sz w:val="24"/>
                <w:highlight w:val="none"/>
              </w:rPr>
            </w:pPr>
          </w:p>
        </w:tc>
        <w:tc>
          <w:tcPr>
            <w:tcW w:w="1134" w:type="dxa"/>
            <w:noWrap w:val="0"/>
            <w:vAlign w:val="center"/>
          </w:tcPr>
          <w:p w14:paraId="258D60B5">
            <w:pPr>
              <w:spacing w:before="120" w:beforeLines="50" w:after="120" w:afterLines="50"/>
              <w:jc w:val="center"/>
              <w:rPr>
                <w:rFonts w:hint="eastAsia" w:ascii="宋体" w:hAnsi="宋体" w:eastAsia="宋体" w:cs="宋体"/>
                <w:color w:val="auto"/>
                <w:sz w:val="24"/>
                <w:highlight w:val="none"/>
              </w:rPr>
            </w:pPr>
          </w:p>
        </w:tc>
        <w:tc>
          <w:tcPr>
            <w:tcW w:w="1134" w:type="dxa"/>
            <w:noWrap w:val="0"/>
            <w:vAlign w:val="center"/>
          </w:tcPr>
          <w:p w14:paraId="0C278368">
            <w:pPr>
              <w:spacing w:before="120" w:beforeLines="50" w:after="120" w:afterLines="50"/>
              <w:jc w:val="center"/>
              <w:rPr>
                <w:rFonts w:hint="eastAsia" w:ascii="宋体" w:hAnsi="宋体" w:eastAsia="宋体" w:cs="宋体"/>
                <w:color w:val="auto"/>
                <w:sz w:val="24"/>
                <w:highlight w:val="none"/>
              </w:rPr>
            </w:pPr>
          </w:p>
        </w:tc>
        <w:tc>
          <w:tcPr>
            <w:tcW w:w="851" w:type="dxa"/>
            <w:noWrap w:val="0"/>
            <w:vAlign w:val="center"/>
          </w:tcPr>
          <w:p w14:paraId="5BBAA75B">
            <w:pPr>
              <w:spacing w:before="120" w:beforeLines="50" w:after="120" w:afterLines="50"/>
              <w:jc w:val="center"/>
              <w:rPr>
                <w:rFonts w:hint="eastAsia" w:ascii="宋体" w:hAnsi="宋体" w:eastAsia="宋体" w:cs="宋体"/>
                <w:color w:val="auto"/>
                <w:sz w:val="24"/>
                <w:highlight w:val="none"/>
              </w:rPr>
            </w:pPr>
          </w:p>
        </w:tc>
        <w:tc>
          <w:tcPr>
            <w:tcW w:w="850" w:type="dxa"/>
            <w:noWrap w:val="0"/>
            <w:vAlign w:val="center"/>
          </w:tcPr>
          <w:p w14:paraId="6330BFCE">
            <w:pPr>
              <w:spacing w:before="120" w:beforeLines="50" w:after="120" w:afterLines="50"/>
              <w:jc w:val="center"/>
              <w:rPr>
                <w:rFonts w:hint="eastAsia" w:ascii="宋体" w:hAnsi="宋体" w:eastAsia="宋体" w:cs="宋体"/>
                <w:color w:val="auto"/>
                <w:sz w:val="24"/>
                <w:highlight w:val="none"/>
              </w:rPr>
            </w:pPr>
          </w:p>
        </w:tc>
      </w:tr>
      <w:tr w14:paraId="38B8F8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3" w:hRule="atLeast"/>
        </w:trPr>
        <w:tc>
          <w:tcPr>
            <w:tcW w:w="959" w:type="dxa"/>
            <w:noWrap w:val="0"/>
            <w:vAlign w:val="center"/>
          </w:tcPr>
          <w:p w14:paraId="1D41C73A">
            <w:pPr>
              <w:spacing w:before="120" w:beforeLines="50" w:after="120" w:afterLines="50"/>
              <w:jc w:val="center"/>
              <w:rPr>
                <w:rFonts w:hint="eastAsia" w:ascii="宋体" w:hAnsi="宋体" w:eastAsia="宋体" w:cs="宋体"/>
                <w:color w:val="auto"/>
                <w:sz w:val="24"/>
                <w:highlight w:val="none"/>
              </w:rPr>
            </w:pPr>
          </w:p>
        </w:tc>
        <w:tc>
          <w:tcPr>
            <w:tcW w:w="850" w:type="dxa"/>
            <w:noWrap w:val="0"/>
            <w:vAlign w:val="center"/>
          </w:tcPr>
          <w:p w14:paraId="1E456052">
            <w:pPr>
              <w:spacing w:before="120" w:beforeLines="50" w:after="120" w:afterLines="50"/>
              <w:jc w:val="center"/>
              <w:rPr>
                <w:rFonts w:hint="eastAsia" w:ascii="宋体" w:hAnsi="宋体" w:eastAsia="宋体" w:cs="宋体"/>
                <w:color w:val="auto"/>
                <w:sz w:val="24"/>
                <w:highlight w:val="none"/>
              </w:rPr>
            </w:pPr>
          </w:p>
        </w:tc>
        <w:tc>
          <w:tcPr>
            <w:tcW w:w="1134" w:type="dxa"/>
            <w:noWrap w:val="0"/>
            <w:vAlign w:val="center"/>
          </w:tcPr>
          <w:p w14:paraId="535454DE">
            <w:pPr>
              <w:spacing w:before="120" w:beforeLines="50" w:after="120" w:afterLines="50"/>
              <w:jc w:val="center"/>
              <w:rPr>
                <w:rFonts w:hint="eastAsia" w:ascii="宋体" w:hAnsi="宋体" w:eastAsia="宋体" w:cs="宋体"/>
                <w:color w:val="auto"/>
                <w:sz w:val="24"/>
                <w:highlight w:val="none"/>
              </w:rPr>
            </w:pPr>
          </w:p>
        </w:tc>
        <w:tc>
          <w:tcPr>
            <w:tcW w:w="709" w:type="dxa"/>
            <w:noWrap w:val="0"/>
            <w:vAlign w:val="center"/>
          </w:tcPr>
          <w:p w14:paraId="1000C011">
            <w:pPr>
              <w:spacing w:before="120" w:beforeLines="50" w:after="120" w:afterLines="50"/>
              <w:jc w:val="center"/>
              <w:rPr>
                <w:rFonts w:hint="eastAsia" w:ascii="宋体" w:hAnsi="宋体" w:eastAsia="宋体" w:cs="宋体"/>
                <w:color w:val="auto"/>
                <w:sz w:val="24"/>
                <w:highlight w:val="none"/>
              </w:rPr>
            </w:pPr>
          </w:p>
        </w:tc>
        <w:tc>
          <w:tcPr>
            <w:tcW w:w="709" w:type="dxa"/>
            <w:noWrap w:val="0"/>
            <w:vAlign w:val="center"/>
          </w:tcPr>
          <w:p w14:paraId="4490D994">
            <w:pPr>
              <w:spacing w:before="120" w:beforeLines="50" w:after="120" w:afterLines="50"/>
              <w:jc w:val="center"/>
              <w:rPr>
                <w:rFonts w:hint="eastAsia" w:ascii="宋体" w:hAnsi="宋体" w:eastAsia="宋体" w:cs="宋体"/>
                <w:color w:val="auto"/>
                <w:sz w:val="24"/>
                <w:highlight w:val="none"/>
              </w:rPr>
            </w:pPr>
          </w:p>
        </w:tc>
        <w:tc>
          <w:tcPr>
            <w:tcW w:w="850" w:type="dxa"/>
            <w:noWrap w:val="0"/>
            <w:vAlign w:val="center"/>
          </w:tcPr>
          <w:p w14:paraId="678C4DC5">
            <w:pPr>
              <w:spacing w:before="120" w:beforeLines="50" w:after="120" w:afterLines="50"/>
              <w:jc w:val="center"/>
              <w:rPr>
                <w:rFonts w:hint="eastAsia" w:ascii="宋体" w:hAnsi="宋体" w:eastAsia="宋体" w:cs="宋体"/>
                <w:color w:val="auto"/>
                <w:sz w:val="24"/>
                <w:highlight w:val="none"/>
              </w:rPr>
            </w:pPr>
          </w:p>
        </w:tc>
        <w:tc>
          <w:tcPr>
            <w:tcW w:w="1134" w:type="dxa"/>
            <w:noWrap w:val="0"/>
            <w:vAlign w:val="center"/>
          </w:tcPr>
          <w:p w14:paraId="67ABDFE1">
            <w:pPr>
              <w:spacing w:before="120" w:beforeLines="50" w:after="120" w:afterLines="50"/>
              <w:jc w:val="center"/>
              <w:rPr>
                <w:rFonts w:hint="eastAsia" w:ascii="宋体" w:hAnsi="宋体" w:eastAsia="宋体" w:cs="宋体"/>
                <w:color w:val="auto"/>
                <w:sz w:val="24"/>
                <w:highlight w:val="none"/>
              </w:rPr>
            </w:pPr>
          </w:p>
        </w:tc>
        <w:tc>
          <w:tcPr>
            <w:tcW w:w="1134" w:type="dxa"/>
            <w:noWrap w:val="0"/>
            <w:vAlign w:val="center"/>
          </w:tcPr>
          <w:p w14:paraId="45389D85">
            <w:pPr>
              <w:spacing w:before="120" w:beforeLines="50" w:after="120" w:afterLines="50"/>
              <w:jc w:val="center"/>
              <w:rPr>
                <w:rFonts w:hint="eastAsia" w:ascii="宋体" w:hAnsi="宋体" w:eastAsia="宋体" w:cs="宋体"/>
                <w:color w:val="auto"/>
                <w:sz w:val="24"/>
                <w:highlight w:val="none"/>
              </w:rPr>
            </w:pPr>
          </w:p>
        </w:tc>
        <w:tc>
          <w:tcPr>
            <w:tcW w:w="851" w:type="dxa"/>
            <w:noWrap w:val="0"/>
            <w:vAlign w:val="center"/>
          </w:tcPr>
          <w:p w14:paraId="456DEDEC">
            <w:pPr>
              <w:spacing w:before="120" w:beforeLines="50" w:after="120" w:afterLines="50"/>
              <w:jc w:val="center"/>
              <w:rPr>
                <w:rFonts w:hint="eastAsia" w:ascii="宋体" w:hAnsi="宋体" w:eastAsia="宋体" w:cs="宋体"/>
                <w:color w:val="auto"/>
                <w:sz w:val="24"/>
                <w:highlight w:val="none"/>
              </w:rPr>
            </w:pPr>
          </w:p>
        </w:tc>
        <w:tc>
          <w:tcPr>
            <w:tcW w:w="850" w:type="dxa"/>
            <w:noWrap w:val="0"/>
            <w:vAlign w:val="center"/>
          </w:tcPr>
          <w:p w14:paraId="39B5F45A">
            <w:pPr>
              <w:spacing w:before="120" w:beforeLines="50" w:after="120" w:afterLines="50"/>
              <w:jc w:val="center"/>
              <w:rPr>
                <w:rFonts w:hint="eastAsia" w:ascii="宋体" w:hAnsi="宋体" w:eastAsia="宋体" w:cs="宋体"/>
                <w:color w:val="auto"/>
                <w:sz w:val="24"/>
                <w:highlight w:val="none"/>
              </w:rPr>
            </w:pPr>
          </w:p>
        </w:tc>
      </w:tr>
      <w:tr w14:paraId="4A70F4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3" w:hRule="atLeast"/>
        </w:trPr>
        <w:tc>
          <w:tcPr>
            <w:tcW w:w="959" w:type="dxa"/>
            <w:noWrap w:val="0"/>
            <w:vAlign w:val="center"/>
          </w:tcPr>
          <w:p w14:paraId="179026AF">
            <w:pPr>
              <w:spacing w:before="120" w:beforeLines="50" w:after="120" w:afterLines="50"/>
              <w:jc w:val="center"/>
              <w:rPr>
                <w:rFonts w:hint="eastAsia" w:ascii="宋体" w:hAnsi="宋体" w:eastAsia="宋体" w:cs="宋体"/>
                <w:color w:val="auto"/>
                <w:sz w:val="24"/>
                <w:highlight w:val="none"/>
              </w:rPr>
            </w:pPr>
          </w:p>
        </w:tc>
        <w:tc>
          <w:tcPr>
            <w:tcW w:w="850" w:type="dxa"/>
            <w:noWrap w:val="0"/>
            <w:vAlign w:val="center"/>
          </w:tcPr>
          <w:p w14:paraId="4CE075B2">
            <w:pPr>
              <w:spacing w:before="120" w:beforeLines="50" w:after="120" w:afterLines="50"/>
              <w:jc w:val="center"/>
              <w:rPr>
                <w:rFonts w:hint="eastAsia" w:ascii="宋体" w:hAnsi="宋体" w:eastAsia="宋体" w:cs="宋体"/>
                <w:color w:val="auto"/>
                <w:sz w:val="24"/>
                <w:highlight w:val="none"/>
              </w:rPr>
            </w:pPr>
          </w:p>
        </w:tc>
        <w:tc>
          <w:tcPr>
            <w:tcW w:w="1134" w:type="dxa"/>
            <w:noWrap w:val="0"/>
            <w:vAlign w:val="center"/>
          </w:tcPr>
          <w:p w14:paraId="61D384FF">
            <w:pPr>
              <w:spacing w:before="120" w:beforeLines="50" w:after="120" w:afterLines="50"/>
              <w:jc w:val="center"/>
              <w:rPr>
                <w:rFonts w:hint="eastAsia" w:ascii="宋体" w:hAnsi="宋体" w:eastAsia="宋体" w:cs="宋体"/>
                <w:color w:val="auto"/>
                <w:sz w:val="24"/>
                <w:highlight w:val="none"/>
              </w:rPr>
            </w:pPr>
          </w:p>
        </w:tc>
        <w:tc>
          <w:tcPr>
            <w:tcW w:w="709" w:type="dxa"/>
            <w:noWrap w:val="0"/>
            <w:vAlign w:val="center"/>
          </w:tcPr>
          <w:p w14:paraId="7D658C60">
            <w:pPr>
              <w:spacing w:before="120" w:beforeLines="50" w:after="120" w:afterLines="50"/>
              <w:jc w:val="center"/>
              <w:rPr>
                <w:rFonts w:hint="eastAsia" w:ascii="宋体" w:hAnsi="宋体" w:eastAsia="宋体" w:cs="宋体"/>
                <w:color w:val="auto"/>
                <w:sz w:val="24"/>
                <w:highlight w:val="none"/>
              </w:rPr>
            </w:pPr>
          </w:p>
        </w:tc>
        <w:tc>
          <w:tcPr>
            <w:tcW w:w="709" w:type="dxa"/>
            <w:noWrap w:val="0"/>
            <w:vAlign w:val="center"/>
          </w:tcPr>
          <w:p w14:paraId="4AB784B2">
            <w:pPr>
              <w:spacing w:before="120" w:beforeLines="50" w:after="120" w:afterLines="50"/>
              <w:jc w:val="center"/>
              <w:rPr>
                <w:rFonts w:hint="eastAsia" w:ascii="宋体" w:hAnsi="宋体" w:eastAsia="宋体" w:cs="宋体"/>
                <w:color w:val="auto"/>
                <w:sz w:val="24"/>
                <w:highlight w:val="none"/>
              </w:rPr>
            </w:pPr>
          </w:p>
        </w:tc>
        <w:tc>
          <w:tcPr>
            <w:tcW w:w="850" w:type="dxa"/>
            <w:noWrap w:val="0"/>
            <w:vAlign w:val="center"/>
          </w:tcPr>
          <w:p w14:paraId="29B16466">
            <w:pPr>
              <w:spacing w:before="120" w:beforeLines="50" w:after="120" w:afterLines="50"/>
              <w:jc w:val="center"/>
              <w:rPr>
                <w:rFonts w:hint="eastAsia" w:ascii="宋体" w:hAnsi="宋体" w:eastAsia="宋体" w:cs="宋体"/>
                <w:color w:val="auto"/>
                <w:sz w:val="24"/>
                <w:highlight w:val="none"/>
              </w:rPr>
            </w:pPr>
          </w:p>
        </w:tc>
        <w:tc>
          <w:tcPr>
            <w:tcW w:w="1134" w:type="dxa"/>
            <w:noWrap w:val="0"/>
            <w:vAlign w:val="center"/>
          </w:tcPr>
          <w:p w14:paraId="282E7EA0">
            <w:pPr>
              <w:spacing w:before="120" w:beforeLines="50" w:after="120" w:afterLines="50"/>
              <w:jc w:val="center"/>
              <w:rPr>
                <w:rFonts w:hint="eastAsia" w:ascii="宋体" w:hAnsi="宋体" w:eastAsia="宋体" w:cs="宋体"/>
                <w:color w:val="auto"/>
                <w:sz w:val="24"/>
                <w:highlight w:val="none"/>
              </w:rPr>
            </w:pPr>
          </w:p>
        </w:tc>
        <w:tc>
          <w:tcPr>
            <w:tcW w:w="1134" w:type="dxa"/>
            <w:noWrap w:val="0"/>
            <w:vAlign w:val="center"/>
          </w:tcPr>
          <w:p w14:paraId="2E8F1AB0">
            <w:pPr>
              <w:spacing w:before="120" w:beforeLines="50" w:after="120" w:afterLines="50"/>
              <w:jc w:val="center"/>
              <w:rPr>
                <w:rFonts w:hint="eastAsia" w:ascii="宋体" w:hAnsi="宋体" w:eastAsia="宋体" w:cs="宋体"/>
                <w:color w:val="auto"/>
                <w:sz w:val="24"/>
                <w:highlight w:val="none"/>
              </w:rPr>
            </w:pPr>
          </w:p>
        </w:tc>
        <w:tc>
          <w:tcPr>
            <w:tcW w:w="851" w:type="dxa"/>
            <w:noWrap w:val="0"/>
            <w:vAlign w:val="center"/>
          </w:tcPr>
          <w:p w14:paraId="705444B3">
            <w:pPr>
              <w:spacing w:before="120" w:beforeLines="50" w:after="120" w:afterLines="50"/>
              <w:jc w:val="center"/>
              <w:rPr>
                <w:rFonts w:hint="eastAsia" w:ascii="宋体" w:hAnsi="宋体" w:eastAsia="宋体" w:cs="宋体"/>
                <w:color w:val="auto"/>
                <w:sz w:val="24"/>
                <w:highlight w:val="none"/>
              </w:rPr>
            </w:pPr>
          </w:p>
        </w:tc>
        <w:tc>
          <w:tcPr>
            <w:tcW w:w="850" w:type="dxa"/>
            <w:noWrap w:val="0"/>
            <w:vAlign w:val="center"/>
          </w:tcPr>
          <w:p w14:paraId="1A14B7D0">
            <w:pPr>
              <w:spacing w:before="120" w:beforeLines="50" w:after="120" w:afterLines="50"/>
              <w:jc w:val="center"/>
              <w:rPr>
                <w:rFonts w:hint="eastAsia" w:ascii="宋体" w:hAnsi="宋体" w:eastAsia="宋体" w:cs="宋体"/>
                <w:color w:val="auto"/>
                <w:sz w:val="24"/>
                <w:highlight w:val="none"/>
              </w:rPr>
            </w:pPr>
          </w:p>
        </w:tc>
      </w:tr>
      <w:tr w14:paraId="0FE09C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3" w:hRule="atLeast"/>
        </w:trPr>
        <w:tc>
          <w:tcPr>
            <w:tcW w:w="959" w:type="dxa"/>
            <w:noWrap w:val="0"/>
            <w:vAlign w:val="center"/>
          </w:tcPr>
          <w:p w14:paraId="4D1F0FB8">
            <w:pPr>
              <w:spacing w:before="120" w:beforeLines="50" w:after="120" w:afterLines="50"/>
              <w:jc w:val="center"/>
              <w:rPr>
                <w:rFonts w:hint="eastAsia" w:ascii="宋体" w:hAnsi="宋体" w:eastAsia="宋体" w:cs="宋体"/>
                <w:color w:val="auto"/>
                <w:sz w:val="24"/>
                <w:highlight w:val="none"/>
              </w:rPr>
            </w:pPr>
          </w:p>
        </w:tc>
        <w:tc>
          <w:tcPr>
            <w:tcW w:w="850" w:type="dxa"/>
            <w:noWrap w:val="0"/>
            <w:vAlign w:val="center"/>
          </w:tcPr>
          <w:p w14:paraId="7C564AFF">
            <w:pPr>
              <w:spacing w:before="120" w:beforeLines="50" w:after="120" w:afterLines="50"/>
              <w:jc w:val="center"/>
              <w:rPr>
                <w:rFonts w:hint="eastAsia" w:ascii="宋体" w:hAnsi="宋体" w:eastAsia="宋体" w:cs="宋体"/>
                <w:color w:val="auto"/>
                <w:sz w:val="24"/>
                <w:highlight w:val="none"/>
              </w:rPr>
            </w:pPr>
          </w:p>
        </w:tc>
        <w:tc>
          <w:tcPr>
            <w:tcW w:w="1134" w:type="dxa"/>
            <w:noWrap w:val="0"/>
            <w:vAlign w:val="center"/>
          </w:tcPr>
          <w:p w14:paraId="2D6FF35E">
            <w:pPr>
              <w:spacing w:before="120" w:beforeLines="50" w:after="120" w:afterLines="50"/>
              <w:jc w:val="center"/>
              <w:rPr>
                <w:rFonts w:hint="eastAsia" w:ascii="宋体" w:hAnsi="宋体" w:eastAsia="宋体" w:cs="宋体"/>
                <w:color w:val="auto"/>
                <w:sz w:val="24"/>
                <w:highlight w:val="none"/>
              </w:rPr>
            </w:pPr>
          </w:p>
        </w:tc>
        <w:tc>
          <w:tcPr>
            <w:tcW w:w="709" w:type="dxa"/>
            <w:noWrap w:val="0"/>
            <w:vAlign w:val="center"/>
          </w:tcPr>
          <w:p w14:paraId="0BEDC090">
            <w:pPr>
              <w:spacing w:before="120" w:beforeLines="50" w:after="120" w:afterLines="50"/>
              <w:jc w:val="center"/>
              <w:rPr>
                <w:rFonts w:hint="eastAsia" w:ascii="宋体" w:hAnsi="宋体" w:eastAsia="宋体" w:cs="宋体"/>
                <w:color w:val="auto"/>
                <w:sz w:val="24"/>
                <w:highlight w:val="none"/>
              </w:rPr>
            </w:pPr>
          </w:p>
        </w:tc>
        <w:tc>
          <w:tcPr>
            <w:tcW w:w="709" w:type="dxa"/>
            <w:noWrap w:val="0"/>
            <w:vAlign w:val="center"/>
          </w:tcPr>
          <w:p w14:paraId="6DBCA826">
            <w:pPr>
              <w:spacing w:before="120" w:beforeLines="50" w:after="120" w:afterLines="50"/>
              <w:jc w:val="center"/>
              <w:rPr>
                <w:rFonts w:hint="eastAsia" w:ascii="宋体" w:hAnsi="宋体" w:eastAsia="宋体" w:cs="宋体"/>
                <w:color w:val="auto"/>
                <w:sz w:val="24"/>
                <w:highlight w:val="none"/>
              </w:rPr>
            </w:pPr>
          </w:p>
        </w:tc>
        <w:tc>
          <w:tcPr>
            <w:tcW w:w="850" w:type="dxa"/>
            <w:noWrap w:val="0"/>
            <w:vAlign w:val="center"/>
          </w:tcPr>
          <w:p w14:paraId="36C6A662">
            <w:pPr>
              <w:spacing w:before="120" w:beforeLines="50" w:after="120" w:afterLines="50"/>
              <w:jc w:val="center"/>
              <w:rPr>
                <w:rFonts w:hint="eastAsia" w:ascii="宋体" w:hAnsi="宋体" w:eastAsia="宋体" w:cs="宋体"/>
                <w:color w:val="auto"/>
                <w:sz w:val="24"/>
                <w:highlight w:val="none"/>
              </w:rPr>
            </w:pPr>
          </w:p>
        </w:tc>
        <w:tc>
          <w:tcPr>
            <w:tcW w:w="1134" w:type="dxa"/>
            <w:noWrap w:val="0"/>
            <w:vAlign w:val="center"/>
          </w:tcPr>
          <w:p w14:paraId="72654804">
            <w:pPr>
              <w:spacing w:before="120" w:beforeLines="50" w:after="120" w:afterLines="50"/>
              <w:jc w:val="center"/>
              <w:rPr>
                <w:rFonts w:hint="eastAsia" w:ascii="宋体" w:hAnsi="宋体" w:eastAsia="宋体" w:cs="宋体"/>
                <w:color w:val="auto"/>
                <w:sz w:val="24"/>
                <w:highlight w:val="none"/>
              </w:rPr>
            </w:pPr>
          </w:p>
        </w:tc>
        <w:tc>
          <w:tcPr>
            <w:tcW w:w="1134" w:type="dxa"/>
            <w:noWrap w:val="0"/>
            <w:vAlign w:val="center"/>
          </w:tcPr>
          <w:p w14:paraId="6A8C0A01">
            <w:pPr>
              <w:spacing w:before="120" w:beforeLines="50" w:after="120" w:afterLines="50"/>
              <w:jc w:val="center"/>
              <w:rPr>
                <w:rFonts w:hint="eastAsia" w:ascii="宋体" w:hAnsi="宋体" w:eastAsia="宋体" w:cs="宋体"/>
                <w:color w:val="auto"/>
                <w:sz w:val="24"/>
                <w:highlight w:val="none"/>
              </w:rPr>
            </w:pPr>
          </w:p>
        </w:tc>
        <w:tc>
          <w:tcPr>
            <w:tcW w:w="851" w:type="dxa"/>
            <w:noWrap w:val="0"/>
            <w:vAlign w:val="center"/>
          </w:tcPr>
          <w:p w14:paraId="31670757">
            <w:pPr>
              <w:spacing w:before="120" w:beforeLines="50" w:after="120" w:afterLines="50"/>
              <w:jc w:val="center"/>
              <w:rPr>
                <w:rFonts w:hint="eastAsia" w:ascii="宋体" w:hAnsi="宋体" w:eastAsia="宋体" w:cs="宋体"/>
                <w:color w:val="auto"/>
                <w:sz w:val="24"/>
                <w:highlight w:val="none"/>
              </w:rPr>
            </w:pPr>
          </w:p>
        </w:tc>
        <w:tc>
          <w:tcPr>
            <w:tcW w:w="850" w:type="dxa"/>
            <w:noWrap w:val="0"/>
            <w:vAlign w:val="center"/>
          </w:tcPr>
          <w:p w14:paraId="4B51CC83">
            <w:pPr>
              <w:spacing w:before="120" w:beforeLines="50" w:after="120" w:afterLines="50"/>
              <w:jc w:val="center"/>
              <w:rPr>
                <w:rFonts w:hint="eastAsia" w:ascii="宋体" w:hAnsi="宋体" w:eastAsia="宋体" w:cs="宋体"/>
                <w:color w:val="auto"/>
                <w:sz w:val="24"/>
                <w:highlight w:val="none"/>
              </w:rPr>
            </w:pPr>
          </w:p>
        </w:tc>
      </w:tr>
    </w:tbl>
    <w:p w14:paraId="447CAA87">
      <w:pPr>
        <w:spacing w:before="120" w:beforeLines="50" w:after="120" w:afterLines="50"/>
        <w:rPr>
          <w:rFonts w:hint="eastAsia" w:ascii="宋体" w:hAnsi="宋体" w:eastAsia="宋体" w:cs="宋体"/>
          <w:b/>
          <w:color w:val="auto"/>
          <w:sz w:val="24"/>
          <w:highlight w:val="none"/>
        </w:rPr>
      </w:pPr>
      <w:bookmarkStart w:id="16" w:name="_sec_718_2"/>
      <w:bookmarkEnd w:id="16"/>
    </w:p>
    <w:p w14:paraId="0DE5FB5A">
      <w:pPr>
        <w:spacing w:before="120" w:beforeLines="50" w:after="120" w:afterLines="50"/>
        <w:rPr>
          <w:rFonts w:hint="eastAsia" w:ascii="宋体" w:hAnsi="宋体" w:eastAsia="宋体" w:cs="宋体"/>
          <w:b/>
          <w:color w:val="auto"/>
          <w:sz w:val="24"/>
          <w:highlight w:val="none"/>
        </w:rPr>
      </w:pPr>
    </w:p>
    <w:p w14:paraId="5FD031C8">
      <w:pPr>
        <w:spacing w:before="120" w:beforeLines="50" w:after="120" w:afterLines="5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附件2：</w:t>
      </w:r>
    </w:p>
    <w:p w14:paraId="37FE43B4">
      <w:pPr>
        <w:spacing w:before="120" w:beforeLines="50" w:after="120" w:afterLines="50"/>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发包供应材料设备一览表</w:t>
      </w:r>
    </w:p>
    <w:tbl>
      <w:tblPr>
        <w:tblStyle w:val="2"/>
        <w:tblW w:w="0" w:type="auto"/>
        <w:jc w:val="center"/>
        <w:tblLayout w:type="fixed"/>
        <w:tblCellMar>
          <w:top w:w="0" w:type="dxa"/>
          <w:left w:w="0" w:type="dxa"/>
          <w:bottom w:w="0" w:type="dxa"/>
          <w:right w:w="0" w:type="dxa"/>
        </w:tblCellMar>
      </w:tblPr>
      <w:tblGrid>
        <w:gridCol w:w="658"/>
        <w:gridCol w:w="2313"/>
        <w:gridCol w:w="762"/>
        <w:gridCol w:w="1327"/>
        <w:gridCol w:w="861"/>
        <w:gridCol w:w="1418"/>
        <w:gridCol w:w="1060"/>
      </w:tblGrid>
      <w:tr w14:paraId="45F10171">
        <w:tblPrEx>
          <w:tblCellMar>
            <w:top w:w="0" w:type="dxa"/>
            <w:left w:w="0" w:type="dxa"/>
            <w:bottom w:w="0" w:type="dxa"/>
            <w:right w:w="0" w:type="dxa"/>
          </w:tblCellMar>
        </w:tblPrEx>
        <w:trPr>
          <w:trHeight w:val="773" w:hRule="atLeast"/>
          <w:jc w:val="center"/>
        </w:trPr>
        <w:tc>
          <w:tcPr>
            <w:tcW w:w="658" w:type="dxa"/>
            <w:tcBorders>
              <w:top w:val="single" w:color="auto" w:sz="8" w:space="0"/>
              <w:left w:val="single" w:color="auto" w:sz="8" w:space="0"/>
              <w:bottom w:val="single" w:color="auto" w:sz="8" w:space="0"/>
              <w:right w:val="single" w:color="auto" w:sz="8" w:space="0"/>
            </w:tcBorders>
            <w:noWrap w:val="0"/>
            <w:tcMar>
              <w:top w:w="0" w:type="dxa"/>
              <w:left w:w="108" w:type="dxa"/>
              <w:bottom w:w="0" w:type="dxa"/>
              <w:right w:w="108" w:type="dxa"/>
            </w:tcMar>
            <w:vAlign w:val="center"/>
          </w:tcPr>
          <w:p w14:paraId="1AFF9A67">
            <w:pPr>
              <w:spacing w:before="120" w:beforeLines="50" w:after="120" w:afterLines="5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序号</w:t>
            </w:r>
          </w:p>
        </w:tc>
        <w:tc>
          <w:tcPr>
            <w:tcW w:w="2313"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581BFF92">
            <w:pPr>
              <w:spacing w:before="120" w:beforeLines="50" w:after="120" w:afterLines="5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材料设备品种</w:t>
            </w:r>
          </w:p>
        </w:tc>
        <w:tc>
          <w:tcPr>
            <w:tcW w:w="762"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2CE14103">
            <w:pPr>
              <w:spacing w:before="120" w:beforeLines="50" w:after="120" w:afterLines="5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单位</w:t>
            </w:r>
          </w:p>
        </w:tc>
        <w:tc>
          <w:tcPr>
            <w:tcW w:w="1327"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22F23BD2">
            <w:pPr>
              <w:spacing w:before="120" w:beforeLines="50" w:after="120" w:afterLines="5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数量</w:t>
            </w:r>
          </w:p>
        </w:tc>
        <w:tc>
          <w:tcPr>
            <w:tcW w:w="861"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200E9986">
            <w:pPr>
              <w:spacing w:before="120" w:beforeLines="50" w:after="120" w:afterLines="5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单价</w:t>
            </w:r>
          </w:p>
        </w:tc>
        <w:tc>
          <w:tcPr>
            <w:tcW w:w="1418"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3F097539">
            <w:pPr>
              <w:spacing w:before="120" w:beforeLines="50" w:after="120" w:afterLines="5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质量等级</w:t>
            </w:r>
          </w:p>
        </w:tc>
        <w:tc>
          <w:tcPr>
            <w:tcW w:w="1060"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54E94B3D">
            <w:pPr>
              <w:spacing w:before="120" w:beforeLines="50" w:after="120" w:afterLines="5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备注</w:t>
            </w:r>
          </w:p>
        </w:tc>
      </w:tr>
      <w:tr w14:paraId="354F1D7E">
        <w:tblPrEx>
          <w:tblCellMar>
            <w:top w:w="0" w:type="dxa"/>
            <w:left w:w="0" w:type="dxa"/>
            <w:bottom w:w="0" w:type="dxa"/>
            <w:right w:w="0" w:type="dxa"/>
          </w:tblCellMar>
        </w:tblPrEx>
        <w:trPr>
          <w:trHeight w:val="773" w:hRule="atLeast"/>
          <w:jc w:val="center"/>
        </w:trPr>
        <w:tc>
          <w:tcPr>
            <w:tcW w:w="658" w:type="dxa"/>
            <w:tcBorders>
              <w:top w:val="single" w:color="auto" w:sz="8" w:space="0"/>
              <w:left w:val="single" w:color="auto" w:sz="8" w:space="0"/>
              <w:bottom w:val="single" w:color="auto" w:sz="8" w:space="0"/>
              <w:right w:val="single" w:color="auto" w:sz="8" w:space="0"/>
            </w:tcBorders>
            <w:noWrap w:val="0"/>
            <w:tcMar>
              <w:top w:w="0" w:type="dxa"/>
              <w:left w:w="108" w:type="dxa"/>
              <w:bottom w:w="0" w:type="dxa"/>
              <w:right w:w="108" w:type="dxa"/>
            </w:tcMar>
            <w:vAlign w:val="center"/>
          </w:tcPr>
          <w:p w14:paraId="41A6D6B9">
            <w:pPr>
              <w:spacing w:before="120" w:beforeLines="50" w:after="120" w:afterLines="50"/>
              <w:jc w:val="center"/>
              <w:rPr>
                <w:rFonts w:hint="eastAsia" w:ascii="宋体" w:hAnsi="宋体" w:eastAsia="宋体" w:cs="宋体"/>
                <w:color w:val="auto"/>
                <w:sz w:val="24"/>
                <w:highlight w:val="none"/>
              </w:rPr>
            </w:pPr>
          </w:p>
        </w:tc>
        <w:tc>
          <w:tcPr>
            <w:tcW w:w="2313"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5937CA61">
            <w:pPr>
              <w:spacing w:before="120" w:beforeLines="50" w:after="120" w:afterLines="50"/>
              <w:jc w:val="center"/>
              <w:rPr>
                <w:rFonts w:hint="eastAsia" w:ascii="宋体" w:hAnsi="宋体" w:eastAsia="宋体" w:cs="宋体"/>
                <w:color w:val="auto"/>
                <w:sz w:val="24"/>
                <w:highlight w:val="none"/>
              </w:rPr>
            </w:pPr>
          </w:p>
        </w:tc>
        <w:tc>
          <w:tcPr>
            <w:tcW w:w="762"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59C23F1E">
            <w:pPr>
              <w:spacing w:before="120" w:beforeLines="50" w:after="120" w:afterLines="50"/>
              <w:jc w:val="center"/>
              <w:rPr>
                <w:rFonts w:hint="eastAsia" w:ascii="宋体" w:hAnsi="宋体" w:eastAsia="宋体" w:cs="宋体"/>
                <w:color w:val="auto"/>
                <w:sz w:val="24"/>
                <w:highlight w:val="none"/>
              </w:rPr>
            </w:pPr>
          </w:p>
        </w:tc>
        <w:tc>
          <w:tcPr>
            <w:tcW w:w="1327"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04B0A36A">
            <w:pPr>
              <w:spacing w:before="120" w:beforeLines="50" w:after="120" w:afterLines="50"/>
              <w:jc w:val="center"/>
              <w:rPr>
                <w:rFonts w:hint="eastAsia" w:ascii="宋体" w:hAnsi="宋体" w:eastAsia="宋体" w:cs="宋体"/>
                <w:color w:val="auto"/>
                <w:sz w:val="24"/>
                <w:highlight w:val="none"/>
              </w:rPr>
            </w:pPr>
          </w:p>
        </w:tc>
        <w:tc>
          <w:tcPr>
            <w:tcW w:w="861"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12A30130">
            <w:pPr>
              <w:spacing w:before="120" w:beforeLines="50" w:after="120" w:afterLines="50"/>
              <w:jc w:val="center"/>
              <w:rPr>
                <w:rFonts w:hint="eastAsia" w:ascii="宋体" w:hAnsi="宋体" w:eastAsia="宋体" w:cs="宋体"/>
                <w:color w:val="auto"/>
                <w:sz w:val="24"/>
                <w:highlight w:val="none"/>
              </w:rPr>
            </w:pPr>
          </w:p>
        </w:tc>
        <w:tc>
          <w:tcPr>
            <w:tcW w:w="1418"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316FD52A">
            <w:pPr>
              <w:spacing w:before="120" w:beforeLines="50" w:after="120" w:afterLines="50"/>
              <w:jc w:val="center"/>
              <w:rPr>
                <w:rFonts w:hint="eastAsia" w:ascii="宋体" w:hAnsi="宋体" w:eastAsia="宋体" w:cs="宋体"/>
                <w:color w:val="auto"/>
                <w:sz w:val="24"/>
                <w:highlight w:val="none"/>
              </w:rPr>
            </w:pPr>
          </w:p>
        </w:tc>
        <w:tc>
          <w:tcPr>
            <w:tcW w:w="1060"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411C68F1">
            <w:pPr>
              <w:spacing w:before="120" w:beforeLines="50" w:after="120" w:afterLines="50"/>
              <w:jc w:val="center"/>
              <w:rPr>
                <w:rFonts w:hint="eastAsia" w:ascii="宋体" w:hAnsi="宋体" w:eastAsia="宋体" w:cs="宋体"/>
                <w:color w:val="auto"/>
                <w:sz w:val="24"/>
                <w:highlight w:val="none"/>
              </w:rPr>
            </w:pPr>
          </w:p>
        </w:tc>
      </w:tr>
      <w:tr w14:paraId="6A29028E">
        <w:tblPrEx>
          <w:tblCellMar>
            <w:top w:w="0" w:type="dxa"/>
            <w:left w:w="0" w:type="dxa"/>
            <w:bottom w:w="0" w:type="dxa"/>
            <w:right w:w="0" w:type="dxa"/>
          </w:tblCellMar>
        </w:tblPrEx>
        <w:trPr>
          <w:trHeight w:val="773" w:hRule="atLeast"/>
          <w:jc w:val="center"/>
        </w:trPr>
        <w:tc>
          <w:tcPr>
            <w:tcW w:w="658" w:type="dxa"/>
            <w:tcBorders>
              <w:top w:val="single" w:color="auto" w:sz="8" w:space="0"/>
              <w:left w:val="single" w:color="auto" w:sz="8" w:space="0"/>
              <w:bottom w:val="single" w:color="auto" w:sz="8" w:space="0"/>
              <w:right w:val="single" w:color="auto" w:sz="8" w:space="0"/>
            </w:tcBorders>
            <w:noWrap w:val="0"/>
            <w:tcMar>
              <w:top w:w="0" w:type="dxa"/>
              <w:left w:w="108" w:type="dxa"/>
              <w:bottom w:w="0" w:type="dxa"/>
              <w:right w:w="108" w:type="dxa"/>
            </w:tcMar>
            <w:vAlign w:val="center"/>
          </w:tcPr>
          <w:p w14:paraId="12429A55">
            <w:pPr>
              <w:spacing w:before="120" w:beforeLines="50" w:after="120" w:afterLines="50"/>
              <w:jc w:val="center"/>
              <w:rPr>
                <w:rFonts w:hint="eastAsia" w:ascii="宋体" w:hAnsi="宋体" w:eastAsia="宋体" w:cs="宋体"/>
                <w:color w:val="auto"/>
                <w:sz w:val="24"/>
                <w:highlight w:val="none"/>
              </w:rPr>
            </w:pPr>
          </w:p>
        </w:tc>
        <w:tc>
          <w:tcPr>
            <w:tcW w:w="2313"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59632B4A">
            <w:pPr>
              <w:spacing w:before="120" w:beforeLines="50" w:after="120" w:afterLines="50"/>
              <w:jc w:val="center"/>
              <w:rPr>
                <w:rFonts w:hint="eastAsia" w:ascii="宋体" w:hAnsi="宋体" w:eastAsia="宋体" w:cs="宋体"/>
                <w:color w:val="auto"/>
                <w:sz w:val="24"/>
                <w:highlight w:val="none"/>
              </w:rPr>
            </w:pPr>
          </w:p>
        </w:tc>
        <w:tc>
          <w:tcPr>
            <w:tcW w:w="762"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3CA0A653">
            <w:pPr>
              <w:spacing w:before="120" w:beforeLines="50" w:after="120" w:afterLines="50"/>
              <w:jc w:val="center"/>
              <w:rPr>
                <w:rFonts w:hint="eastAsia" w:ascii="宋体" w:hAnsi="宋体" w:eastAsia="宋体" w:cs="宋体"/>
                <w:color w:val="auto"/>
                <w:sz w:val="24"/>
                <w:highlight w:val="none"/>
              </w:rPr>
            </w:pPr>
          </w:p>
        </w:tc>
        <w:tc>
          <w:tcPr>
            <w:tcW w:w="1327"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61C3B0A9">
            <w:pPr>
              <w:spacing w:before="120" w:beforeLines="50" w:after="120" w:afterLines="50"/>
              <w:jc w:val="center"/>
              <w:rPr>
                <w:rFonts w:hint="eastAsia" w:ascii="宋体" w:hAnsi="宋体" w:eastAsia="宋体" w:cs="宋体"/>
                <w:color w:val="auto"/>
                <w:sz w:val="24"/>
                <w:highlight w:val="none"/>
              </w:rPr>
            </w:pPr>
          </w:p>
        </w:tc>
        <w:tc>
          <w:tcPr>
            <w:tcW w:w="861"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43372EBA">
            <w:pPr>
              <w:spacing w:before="120" w:beforeLines="50" w:after="120" w:afterLines="50"/>
              <w:jc w:val="center"/>
              <w:rPr>
                <w:rFonts w:hint="eastAsia" w:ascii="宋体" w:hAnsi="宋体" w:eastAsia="宋体" w:cs="宋体"/>
                <w:color w:val="auto"/>
                <w:sz w:val="24"/>
                <w:highlight w:val="none"/>
              </w:rPr>
            </w:pPr>
          </w:p>
        </w:tc>
        <w:tc>
          <w:tcPr>
            <w:tcW w:w="1418"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4628BF1F">
            <w:pPr>
              <w:spacing w:before="120" w:beforeLines="50" w:after="120" w:afterLines="50"/>
              <w:jc w:val="center"/>
              <w:rPr>
                <w:rFonts w:hint="eastAsia" w:ascii="宋体" w:hAnsi="宋体" w:eastAsia="宋体" w:cs="宋体"/>
                <w:color w:val="auto"/>
                <w:sz w:val="24"/>
                <w:highlight w:val="none"/>
              </w:rPr>
            </w:pPr>
          </w:p>
        </w:tc>
        <w:tc>
          <w:tcPr>
            <w:tcW w:w="1060"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2108205E">
            <w:pPr>
              <w:spacing w:before="120" w:beforeLines="50" w:after="120" w:afterLines="50"/>
              <w:jc w:val="center"/>
              <w:rPr>
                <w:rFonts w:hint="eastAsia" w:ascii="宋体" w:hAnsi="宋体" w:eastAsia="宋体" w:cs="宋体"/>
                <w:color w:val="auto"/>
                <w:sz w:val="24"/>
                <w:highlight w:val="none"/>
              </w:rPr>
            </w:pPr>
          </w:p>
        </w:tc>
      </w:tr>
      <w:tr w14:paraId="67B4E037">
        <w:tblPrEx>
          <w:tblCellMar>
            <w:top w:w="0" w:type="dxa"/>
            <w:left w:w="0" w:type="dxa"/>
            <w:bottom w:w="0" w:type="dxa"/>
            <w:right w:w="0" w:type="dxa"/>
          </w:tblCellMar>
        </w:tblPrEx>
        <w:trPr>
          <w:trHeight w:val="773" w:hRule="atLeast"/>
          <w:jc w:val="center"/>
        </w:trPr>
        <w:tc>
          <w:tcPr>
            <w:tcW w:w="658" w:type="dxa"/>
            <w:tcBorders>
              <w:top w:val="single" w:color="auto" w:sz="8" w:space="0"/>
              <w:left w:val="single" w:color="auto" w:sz="8" w:space="0"/>
              <w:bottom w:val="single" w:color="auto" w:sz="8" w:space="0"/>
              <w:right w:val="single" w:color="auto" w:sz="8" w:space="0"/>
            </w:tcBorders>
            <w:noWrap w:val="0"/>
            <w:tcMar>
              <w:top w:w="0" w:type="dxa"/>
              <w:left w:w="108" w:type="dxa"/>
              <w:bottom w:w="0" w:type="dxa"/>
              <w:right w:w="108" w:type="dxa"/>
            </w:tcMar>
            <w:vAlign w:val="center"/>
          </w:tcPr>
          <w:p w14:paraId="5C2AC865">
            <w:pPr>
              <w:spacing w:before="120" w:beforeLines="50" w:after="120" w:afterLines="50"/>
              <w:jc w:val="center"/>
              <w:rPr>
                <w:rFonts w:hint="eastAsia" w:ascii="宋体" w:hAnsi="宋体" w:eastAsia="宋体" w:cs="宋体"/>
                <w:color w:val="auto"/>
                <w:sz w:val="24"/>
                <w:highlight w:val="none"/>
              </w:rPr>
            </w:pPr>
          </w:p>
        </w:tc>
        <w:tc>
          <w:tcPr>
            <w:tcW w:w="2313"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09B5AE4A">
            <w:pPr>
              <w:spacing w:before="120" w:beforeLines="50" w:after="120" w:afterLines="50"/>
              <w:jc w:val="center"/>
              <w:rPr>
                <w:rFonts w:hint="eastAsia" w:ascii="宋体" w:hAnsi="宋体" w:eastAsia="宋体" w:cs="宋体"/>
                <w:color w:val="auto"/>
                <w:sz w:val="24"/>
                <w:highlight w:val="none"/>
              </w:rPr>
            </w:pPr>
          </w:p>
        </w:tc>
        <w:tc>
          <w:tcPr>
            <w:tcW w:w="762"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149A2039">
            <w:pPr>
              <w:spacing w:before="120" w:beforeLines="50" w:after="120" w:afterLines="50"/>
              <w:jc w:val="center"/>
              <w:rPr>
                <w:rFonts w:hint="eastAsia" w:ascii="宋体" w:hAnsi="宋体" w:eastAsia="宋体" w:cs="宋体"/>
                <w:color w:val="auto"/>
                <w:sz w:val="24"/>
                <w:highlight w:val="none"/>
              </w:rPr>
            </w:pPr>
          </w:p>
        </w:tc>
        <w:tc>
          <w:tcPr>
            <w:tcW w:w="1327"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27A6C948">
            <w:pPr>
              <w:spacing w:before="120" w:beforeLines="50" w:after="120" w:afterLines="50"/>
              <w:jc w:val="center"/>
              <w:rPr>
                <w:rFonts w:hint="eastAsia" w:ascii="宋体" w:hAnsi="宋体" w:eastAsia="宋体" w:cs="宋体"/>
                <w:color w:val="auto"/>
                <w:sz w:val="24"/>
                <w:highlight w:val="none"/>
              </w:rPr>
            </w:pPr>
          </w:p>
        </w:tc>
        <w:tc>
          <w:tcPr>
            <w:tcW w:w="861"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36E4C6C4">
            <w:pPr>
              <w:spacing w:before="120" w:beforeLines="50" w:after="120" w:afterLines="50"/>
              <w:jc w:val="center"/>
              <w:rPr>
                <w:rFonts w:hint="eastAsia" w:ascii="宋体" w:hAnsi="宋体" w:eastAsia="宋体" w:cs="宋体"/>
                <w:color w:val="auto"/>
                <w:sz w:val="24"/>
                <w:highlight w:val="none"/>
              </w:rPr>
            </w:pPr>
          </w:p>
        </w:tc>
        <w:tc>
          <w:tcPr>
            <w:tcW w:w="1418"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007D7CA1">
            <w:pPr>
              <w:spacing w:before="120" w:beforeLines="50" w:after="120" w:afterLines="50"/>
              <w:jc w:val="center"/>
              <w:rPr>
                <w:rFonts w:hint="eastAsia" w:ascii="宋体" w:hAnsi="宋体" w:eastAsia="宋体" w:cs="宋体"/>
                <w:color w:val="auto"/>
                <w:sz w:val="24"/>
                <w:highlight w:val="none"/>
              </w:rPr>
            </w:pPr>
          </w:p>
        </w:tc>
        <w:tc>
          <w:tcPr>
            <w:tcW w:w="1060"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6A0ED467">
            <w:pPr>
              <w:spacing w:before="120" w:beforeLines="50" w:after="120" w:afterLines="50"/>
              <w:jc w:val="center"/>
              <w:rPr>
                <w:rFonts w:hint="eastAsia" w:ascii="宋体" w:hAnsi="宋体" w:eastAsia="宋体" w:cs="宋体"/>
                <w:color w:val="auto"/>
                <w:sz w:val="24"/>
                <w:highlight w:val="none"/>
              </w:rPr>
            </w:pPr>
          </w:p>
        </w:tc>
      </w:tr>
      <w:tr w14:paraId="59079D5C">
        <w:tblPrEx>
          <w:tblCellMar>
            <w:top w:w="0" w:type="dxa"/>
            <w:left w:w="0" w:type="dxa"/>
            <w:bottom w:w="0" w:type="dxa"/>
            <w:right w:w="0" w:type="dxa"/>
          </w:tblCellMar>
        </w:tblPrEx>
        <w:trPr>
          <w:trHeight w:val="773" w:hRule="atLeast"/>
          <w:jc w:val="center"/>
        </w:trPr>
        <w:tc>
          <w:tcPr>
            <w:tcW w:w="658" w:type="dxa"/>
            <w:tcBorders>
              <w:top w:val="single" w:color="auto" w:sz="8" w:space="0"/>
              <w:left w:val="single" w:color="auto" w:sz="8" w:space="0"/>
              <w:bottom w:val="single" w:color="auto" w:sz="8" w:space="0"/>
              <w:right w:val="single" w:color="auto" w:sz="8" w:space="0"/>
            </w:tcBorders>
            <w:noWrap w:val="0"/>
            <w:tcMar>
              <w:top w:w="0" w:type="dxa"/>
              <w:left w:w="108" w:type="dxa"/>
              <w:bottom w:w="0" w:type="dxa"/>
              <w:right w:w="108" w:type="dxa"/>
            </w:tcMar>
            <w:vAlign w:val="center"/>
          </w:tcPr>
          <w:p w14:paraId="698D4ACD">
            <w:pPr>
              <w:spacing w:before="120" w:beforeLines="50" w:after="120" w:afterLines="50"/>
              <w:rPr>
                <w:rFonts w:hint="eastAsia" w:ascii="宋体" w:hAnsi="宋体" w:eastAsia="宋体" w:cs="宋体"/>
                <w:color w:val="auto"/>
                <w:sz w:val="24"/>
                <w:highlight w:val="none"/>
              </w:rPr>
            </w:pPr>
          </w:p>
        </w:tc>
        <w:tc>
          <w:tcPr>
            <w:tcW w:w="2313"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2B445E3D">
            <w:pPr>
              <w:spacing w:before="120" w:beforeLines="50" w:after="120" w:afterLines="50"/>
              <w:jc w:val="center"/>
              <w:rPr>
                <w:rFonts w:hint="eastAsia" w:ascii="宋体" w:hAnsi="宋体" w:eastAsia="宋体" w:cs="宋体"/>
                <w:color w:val="auto"/>
                <w:sz w:val="24"/>
                <w:highlight w:val="none"/>
              </w:rPr>
            </w:pPr>
          </w:p>
        </w:tc>
        <w:tc>
          <w:tcPr>
            <w:tcW w:w="762"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0ECCD55B">
            <w:pPr>
              <w:spacing w:before="120" w:beforeLines="50" w:after="120" w:afterLines="50"/>
              <w:jc w:val="center"/>
              <w:rPr>
                <w:rFonts w:hint="eastAsia" w:ascii="宋体" w:hAnsi="宋体" w:eastAsia="宋体" w:cs="宋体"/>
                <w:color w:val="auto"/>
                <w:sz w:val="24"/>
                <w:highlight w:val="none"/>
              </w:rPr>
            </w:pPr>
          </w:p>
        </w:tc>
        <w:tc>
          <w:tcPr>
            <w:tcW w:w="1327"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435975FD">
            <w:pPr>
              <w:spacing w:before="120" w:beforeLines="50" w:after="120" w:afterLines="50"/>
              <w:jc w:val="center"/>
              <w:rPr>
                <w:rFonts w:hint="eastAsia" w:ascii="宋体" w:hAnsi="宋体" w:eastAsia="宋体" w:cs="宋体"/>
                <w:color w:val="auto"/>
                <w:sz w:val="24"/>
                <w:highlight w:val="none"/>
              </w:rPr>
            </w:pPr>
          </w:p>
        </w:tc>
        <w:tc>
          <w:tcPr>
            <w:tcW w:w="861"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07397BC7">
            <w:pPr>
              <w:spacing w:before="120" w:beforeLines="50" w:after="120" w:afterLines="50"/>
              <w:jc w:val="center"/>
              <w:rPr>
                <w:rFonts w:hint="eastAsia" w:ascii="宋体" w:hAnsi="宋体" w:eastAsia="宋体" w:cs="宋体"/>
                <w:color w:val="auto"/>
                <w:sz w:val="24"/>
                <w:highlight w:val="none"/>
              </w:rPr>
            </w:pPr>
          </w:p>
        </w:tc>
        <w:tc>
          <w:tcPr>
            <w:tcW w:w="1418"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2C65806A">
            <w:pPr>
              <w:spacing w:before="120" w:beforeLines="50" w:after="120" w:afterLines="50"/>
              <w:jc w:val="center"/>
              <w:rPr>
                <w:rFonts w:hint="eastAsia" w:ascii="宋体" w:hAnsi="宋体" w:eastAsia="宋体" w:cs="宋体"/>
                <w:color w:val="auto"/>
                <w:sz w:val="24"/>
                <w:highlight w:val="none"/>
              </w:rPr>
            </w:pPr>
          </w:p>
        </w:tc>
        <w:tc>
          <w:tcPr>
            <w:tcW w:w="1060"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553AA2B9">
            <w:pPr>
              <w:spacing w:before="120" w:beforeLines="50" w:after="120" w:afterLines="50"/>
              <w:jc w:val="center"/>
              <w:rPr>
                <w:rFonts w:hint="eastAsia" w:ascii="宋体" w:hAnsi="宋体" w:eastAsia="宋体" w:cs="宋体"/>
                <w:color w:val="auto"/>
                <w:sz w:val="24"/>
                <w:highlight w:val="none"/>
              </w:rPr>
            </w:pPr>
          </w:p>
        </w:tc>
      </w:tr>
      <w:tr w14:paraId="04E3FDF2">
        <w:tblPrEx>
          <w:tblCellMar>
            <w:top w:w="0" w:type="dxa"/>
            <w:left w:w="0" w:type="dxa"/>
            <w:bottom w:w="0" w:type="dxa"/>
            <w:right w:w="0" w:type="dxa"/>
          </w:tblCellMar>
        </w:tblPrEx>
        <w:trPr>
          <w:trHeight w:val="773" w:hRule="atLeast"/>
          <w:jc w:val="center"/>
        </w:trPr>
        <w:tc>
          <w:tcPr>
            <w:tcW w:w="658" w:type="dxa"/>
            <w:tcBorders>
              <w:top w:val="single" w:color="auto" w:sz="8" w:space="0"/>
              <w:left w:val="single" w:color="auto" w:sz="8" w:space="0"/>
              <w:bottom w:val="single" w:color="auto" w:sz="8" w:space="0"/>
              <w:right w:val="single" w:color="auto" w:sz="8" w:space="0"/>
            </w:tcBorders>
            <w:noWrap w:val="0"/>
            <w:tcMar>
              <w:top w:w="0" w:type="dxa"/>
              <w:left w:w="108" w:type="dxa"/>
              <w:bottom w:w="0" w:type="dxa"/>
              <w:right w:w="108" w:type="dxa"/>
            </w:tcMar>
            <w:vAlign w:val="center"/>
          </w:tcPr>
          <w:p w14:paraId="40228D21">
            <w:pPr>
              <w:spacing w:before="120" w:beforeLines="50" w:after="120" w:afterLines="50"/>
              <w:rPr>
                <w:rFonts w:hint="eastAsia" w:ascii="宋体" w:hAnsi="宋体" w:eastAsia="宋体" w:cs="宋体"/>
                <w:color w:val="auto"/>
                <w:sz w:val="24"/>
                <w:highlight w:val="none"/>
              </w:rPr>
            </w:pPr>
          </w:p>
        </w:tc>
        <w:tc>
          <w:tcPr>
            <w:tcW w:w="2313"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4B7ED090">
            <w:pPr>
              <w:spacing w:before="120" w:beforeLines="50" w:after="120" w:afterLines="50"/>
              <w:jc w:val="center"/>
              <w:rPr>
                <w:rFonts w:hint="eastAsia" w:ascii="宋体" w:hAnsi="宋体" w:eastAsia="宋体" w:cs="宋体"/>
                <w:color w:val="auto"/>
                <w:sz w:val="24"/>
                <w:highlight w:val="none"/>
              </w:rPr>
            </w:pPr>
          </w:p>
        </w:tc>
        <w:tc>
          <w:tcPr>
            <w:tcW w:w="762"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6BCED58A">
            <w:pPr>
              <w:spacing w:before="120" w:beforeLines="50" w:after="120" w:afterLines="50"/>
              <w:jc w:val="center"/>
              <w:rPr>
                <w:rFonts w:hint="eastAsia" w:ascii="宋体" w:hAnsi="宋体" w:eastAsia="宋体" w:cs="宋体"/>
                <w:color w:val="auto"/>
                <w:sz w:val="24"/>
                <w:highlight w:val="none"/>
              </w:rPr>
            </w:pPr>
          </w:p>
        </w:tc>
        <w:tc>
          <w:tcPr>
            <w:tcW w:w="1327"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326078AB">
            <w:pPr>
              <w:spacing w:before="120" w:beforeLines="50" w:after="120" w:afterLines="50"/>
              <w:jc w:val="center"/>
              <w:rPr>
                <w:rFonts w:hint="eastAsia" w:ascii="宋体" w:hAnsi="宋体" w:eastAsia="宋体" w:cs="宋体"/>
                <w:color w:val="auto"/>
                <w:sz w:val="24"/>
                <w:highlight w:val="none"/>
              </w:rPr>
            </w:pPr>
          </w:p>
        </w:tc>
        <w:tc>
          <w:tcPr>
            <w:tcW w:w="861"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2724BE87">
            <w:pPr>
              <w:spacing w:before="120" w:beforeLines="50" w:after="120" w:afterLines="50"/>
              <w:jc w:val="center"/>
              <w:rPr>
                <w:rFonts w:hint="eastAsia" w:ascii="宋体" w:hAnsi="宋体" w:eastAsia="宋体" w:cs="宋体"/>
                <w:color w:val="auto"/>
                <w:sz w:val="24"/>
                <w:highlight w:val="none"/>
              </w:rPr>
            </w:pPr>
          </w:p>
        </w:tc>
        <w:tc>
          <w:tcPr>
            <w:tcW w:w="1418"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579CCF9F">
            <w:pPr>
              <w:spacing w:before="120" w:beforeLines="50" w:after="120" w:afterLines="50"/>
              <w:jc w:val="center"/>
              <w:rPr>
                <w:rFonts w:hint="eastAsia" w:ascii="宋体" w:hAnsi="宋体" w:eastAsia="宋体" w:cs="宋体"/>
                <w:color w:val="auto"/>
                <w:sz w:val="24"/>
                <w:highlight w:val="none"/>
              </w:rPr>
            </w:pPr>
          </w:p>
        </w:tc>
        <w:tc>
          <w:tcPr>
            <w:tcW w:w="1060"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1D428D2E">
            <w:pPr>
              <w:spacing w:before="120" w:beforeLines="50" w:after="120" w:afterLines="50"/>
              <w:jc w:val="center"/>
              <w:rPr>
                <w:rFonts w:hint="eastAsia" w:ascii="宋体" w:hAnsi="宋体" w:eastAsia="宋体" w:cs="宋体"/>
                <w:color w:val="auto"/>
                <w:sz w:val="24"/>
                <w:highlight w:val="none"/>
              </w:rPr>
            </w:pPr>
          </w:p>
        </w:tc>
      </w:tr>
      <w:tr w14:paraId="0CC74625">
        <w:tblPrEx>
          <w:tblCellMar>
            <w:top w:w="0" w:type="dxa"/>
            <w:left w:w="0" w:type="dxa"/>
            <w:bottom w:w="0" w:type="dxa"/>
            <w:right w:w="0" w:type="dxa"/>
          </w:tblCellMar>
        </w:tblPrEx>
        <w:trPr>
          <w:trHeight w:val="773" w:hRule="atLeast"/>
          <w:jc w:val="center"/>
        </w:trPr>
        <w:tc>
          <w:tcPr>
            <w:tcW w:w="658" w:type="dxa"/>
            <w:tcBorders>
              <w:top w:val="single" w:color="auto" w:sz="8" w:space="0"/>
              <w:left w:val="single" w:color="auto" w:sz="8" w:space="0"/>
              <w:bottom w:val="single" w:color="auto" w:sz="8" w:space="0"/>
              <w:right w:val="single" w:color="auto" w:sz="8" w:space="0"/>
            </w:tcBorders>
            <w:noWrap w:val="0"/>
            <w:tcMar>
              <w:top w:w="0" w:type="dxa"/>
              <w:left w:w="108" w:type="dxa"/>
              <w:bottom w:w="0" w:type="dxa"/>
              <w:right w:w="108" w:type="dxa"/>
            </w:tcMar>
            <w:vAlign w:val="center"/>
          </w:tcPr>
          <w:p w14:paraId="5462E669">
            <w:pPr>
              <w:spacing w:before="120" w:beforeLines="50" w:after="120" w:afterLines="50"/>
              <w:rPr>
                <w:rFonts w:hint="eastAsia" w:ascii="宋体" w:hAnsi="宋体" w:eastAsia="宋体" w:cs="宋体"/>
                <w:color w:val="auto"/>
                <w:sz w:val="24"/>
                <w:highlight w:val="none"/>
              </w:rPr>
            </w:pPr>
          </w:p>
        </w:tc>
        <w:tc>
          <w:tcPr>
            <w:tcW w:w="2313"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271351E6">
            <w:pPr>
              <w:spacing w:before="120" w:beforeLines="50" w:after="120" w:afterLines="50"/>
              <w:jc w:val="center"/>
              <w:rPr>
                <w:rFonts w:hint="eastAsia" w:ascii="宋体" w:hAnsi="宋体" w:eastAsia="宋体" w:cs="宋体"/>
                <w:color w:val="auto"/>
                <w:sz w:val="24"/>
                <w:highlight w:val="none"/>
              </w:rPr>
            </w:pPr>
          </w:p>
        </w:tc>
        <w:tc>
          <w:tcPr>
            <w:tcW w:w="762"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7CF97D8F">
            <w:pPr>
              <w:spacing w:before="120" w:beforeLines="50" w:after="120" w:afterLines="50"/>
              <w:jc w:val="center"/>
              <w:rPr>
                <w:rFonts w:hint="eastAsia" w:ascii="宋体" w:hAnsi="宋体" w:eastAsia="宋体" w:cs="宋体"/>
                <w:color w:val="auto"/>
                <w:sz w:val="24"/>
                <w:highlight w:val="none"/>
              </w:rPr>
            </w:pPr>
          </w:p>
        </w:tc>
        <w:tc>
          <w:tcPr>
            <w:tcW w:w="1327"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6BC8AD97">
            <w:pPr>
              <w:spacing w:before="120" w:beforeLines="50" w:after="120" w:afterLines="50"/>
              <w:jc w:val="center"/>
              <w:rPr>
                <w:rFonts w:hint="eastAsia" w:ascii="宋体" w:hAnsi="宋体" w:eastAsia="宋体" w:cs="宋体"/>
                <w:color w:val="auto"/>
                <w:sz w:val="24"/>
                <w:highlight w:val="none"/>
              </w:rPr>
            </w:pPr>
          </w:p>
        </w:tc>
        <w:tc>
          <w:tcPr>
            <w:tcW w:w="861"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4435FD6F">
            <w:pPr>
              <w:spacing w:before="120" w:beforeLines="50" w:after="120" w:afterLines="50"/>
              <w:jc w:val="center"/>
              <w:rPr>
                <w:rFonts w:hint="eastAsia" w:ascii="宋体" w:hAnsi="宋体" w:eastAsia="宋体" w:cs="宋体"/>
                <w:color w:val="auto"/>
                <w:sz w:val="24"/>
                <w:highlight w:val="none"/>
              </w:rPr>
            </w:pPr>
          </w:p>
        </w:tc>
        <w:tc>
          <w:tcPr>
            <w:tcW w:w="1418"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777F2FCD">
            <w:pPr>
              <w:spacing w:before="120" w:beforeLines="50" w:after="120" w:afterLines="50"/>
              <w:jc w:val="center"/>
              <w:rPr>
                <w:rFonts w:hint="eastAsia" w:ascii="宋体" w:hAnsi="宋体" w:eastAsia="宋体" w:cs="宋体"/>
                <w:color w:val="auto"/>
                <w:sz w:val="24"/>
                <w:highlight w:val="none"/>
              </w:rPr>
            </w:pPr>
          </w:p>
        </w:tc>
        <w:tc>
          <w:tcPr>
            <w:tcW w:w="1060"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343A6AD5">
            <w:pPr>
              <w:spacing w:before="120" w:beforeLines="50" w:after="120" w:afterLines="50"/>
              <w:jc w:val="center"/>
              <w:rPr>
                <w:rFonts w:hint="eastAsia" w:ascii="宋体" w:hAnsi="宋体" w:eastAsia="宋体" w:cs="宋体"/>
                <w:color w:val="auto"/>
                <w:sz w:val="24"/>
                <w:highlight w:val="none"/>
              </w:rPr>
            </w:pPr>
          </w:p>
        </w:tc>
      </w:tr>
      <w:tr w14:paraId="6FB22FF8">
        <w:tblPrEx>
          <w:tblCellMar>
            <w:top w:w="0" w:type="dxa"/>
            <w:left w:w="0" w:type="dxa"/>
            <w:bottom w:w="0" w:type="dxa"/>
            <w:right w:w="0" w:type="dxa"/>
          </w:tblCellMar>
        </w:tblPrEx>
        <w:trPr>
          <w:trHeight w:val="773" w:hRule="atLeast"/>
          <w:jc w:val="center"/>
        </w:trPr>
        <w:tc>
          <w:tcPr>
            <w:tcW w:w="658" w:type="dxa"/>
            <w:tcBorders>
              <w:top w:val="single" w:color="auto" w:sz="8" w:space="0"/>
              <w:left w:val="single" w:color="auto" w:sz="8" w:space="0"/>
              <w:bottom w:val="single" w:color="auto" w:sz="8" w:space="0"/>
              <w:right w:val="single" w:color="auto" w:sz="8" w:space="0"/>
            </w:tcBorders>
            <w:noWrap w:val="0"/>
            <w:tcMar>
              <w:top w:w="0" w:type="dxa"/>
              <w:left w:w="108" w:type="dxa"/>
              <w:bottom w:w="0" w:type="dxa"/>
              <w:right w:w="108" w:type="dxa"/>
            </w:tcMar>
            <w:vAlign w:val="center"/>
          </w:tcPr>
          <w:p w14:paraId="57B5FFF1">
            <w:pPr>
              <w:spacing w:before="120" w:beforeLines="50" w:after="120" w:afterLines="50"/>
              <w:rPr>
                <w:rFonts w:hint="eastAsia" w:ascii="宋体" w:hAnsi="宋体" w:eastAsia="宋体" w:cs="宋体"/>
                <w:color w:val="auto"/>
                <w:sz w:val="24"/>
                <w:highlight w:val="none"/>
              </w:rPr>
            </w:pPr>
          </w:p>
        </w:tc>
        <w:tc>
          <w:tcPr>
            <w:tcW w:w="2313"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3896E39C">
            <w:pPr>
              <w:spacing w:before="120" w:beforeLines="50" w:after="120" w:afterLines="50"/>
              <w:jc w:val="center"/>
              <w:rPr>
                <w:rFonts w:hint="eastAsia" w:ascii="宋体" w:hAnsi="宋体" w:eastAsia="宋体" w:cs="宋体"/>
                <w:color w:val="auto"/>
                <w:sz w:val="24"/>
                <w:highlight w:val="none"/>
              </w:rPr>
            </w:pPr>
          </w:p>
        </w:tc>
        <w:tc>
          <w:tcPr>
            <w:tcW w:w="762"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70F1FCF4">
            <w:pPr>
              <w:spacing w:before="120" w:beforeLines="50" w:after="120" w:afterLines="50"/>
              <w:jc w:val="center"/>
              <w:rPr>
                <w:rFonts w:hint="eastAsia" w:ascii="宋体" w:hAnsi="宋体" w:eastAsia="宋体" w:cs="宋体"/>
                <w:color w:val="auto"/>
                <w:sz w:val="24"/>
                <w:highlight w:val="none"/>
              </w:rPr>
            </w:pPr>
          </w:p>
        </w:tc>
        <w:tc>
          <w:tcPr>
            <w:tcW w:w="1327"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0B82CAD1">
            <w:pPr>
              <w:spacing w:before="120" w:beforeLines="50" w:after="120" w:afterLines="50"/>
              <w:jc w:val="center"/>
              <w:rPr>
                <w:rFonts w:hint="eastAsia" w:ascii="宋体" w:hAnsi="宋体" w:eastAsia="宋体" w:cs="宋体"/>
                <w:color w:val="auto"/>
                <w:sz w:val="24"/>
                <w:highlight w:val="none"/>
              </w:rPr>
            </w:pPr>
          </w:p>
        </w:tc>
        <w:tc>
          <w:tcPr>
            <w:tcW w:w="861"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6253B748">
            <w:pPr>
              <w:spacing w:before="120" w:beforeLines="50" w:after="120" w:afterLines="50"/>
              <w:jc w:val="center"/>
              <w:rPr>
                <w:rFonts w:hint="eastAsia" w:ascii="宋体" w:hAnsi="宋体" w:eastAsia="宋体" w:cs="宋体"/>
                <w:color w:val="auto"/>
                <w:sz w:val="24"/>
                <w:highlight w:val="none"/>
              </w:rPr>
            </w:pPr>
          </w:p>
        </w:tc>
        <w:tc>
          <w:tcPr>
            <w:tcW w:w="1418"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35830D18">
            <w:pPr>
              <w:spacing w:before="120" w:beforeLines="50" w:after="120" w:afterLines="50"/>
              <w:jc w:val="center"/>
              <w:rPr>
                <w:rFonts w:hint="eastAsia" w:ascii="宋体" w:hAnsi="宋体" w:eastAsia="宋体" w:cs="宋体"/>
                <w:color w:val="auto"/>
                <w:sz w:val="24"/>
                <w:highlight w:val="none"/>
              </w:rPr>
            </w:pPr>
          </w:p>
        </w:tc>
        <w:tc>
          <w:tcPr>
            <w:tcW w:w="1060"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68B7E5B8">
            <w:pPr>
              <w:spacing w:before="120" w:beforeLines="50" w:after="120" w:afterLines="50"/>
              <w:jc w:val="center"/>
              <w:rPr>
                <w:rFonts w:hint="eastAsia" w:ascii="宋体" w:hAnsi="宋体" w:eastAsia="宋体" w:cs="宋体"/>
                <w:color w:val="auto"/>
                <w:sz w:val="24"/>
                <w:highlight w:val="none"/>
              </w:rPr>
            </w:pPr>
          </w:p>
        </w:tc>
      </w:tr>
      <w:tr w14:paraId="373FBE56">
        <w:tblPrEx>
          <w:tblCellMar>
            <w:top w:w="0" w:type="dxa"/>
            <w:left w:w="0" w:type="dxa"/>
            <w:bottom w:w="0" w:type="dxa"/>
            <w:right w:w="0" w:type="dxa"/>
          </w:tblCellMar>
        </w:tblPrEx>
        <w:trPr>
          <w:trHeight w:val="773" w:hRule="atLeast"/>
          <w:jc w:val="center"/>
        </w:trPr>
        <w:tc>
          <w:tcPr>
            <w:tcW w:w="658" w:type="dxa"/>
            <w:tcBorders>
              <w:top w:val="single" w:color="auto" w:sz="8" w:space="0"/>
              <w:left w:val="single" w:color="auto" w:sz="8" w:space="0"/>
              <w:bottom w:val="single" w:color="auto" w:sz="8" w:space="0"/>
              <w:right w:val="single" w:color="auto" w:sz="8" w:space="0"/>
            </w:tcBorders>
            <w:noWrap w:val="0"/>
            <w:tcMar>
              <w:top w:w="0" w:type="dxa"/>
              <w:left w:w="108" w:type="dxa"/>
              <w:bottom w:w="0" w:type="dxa"/>
              <w:right w:w="108" w:type="dxa"/>
            </w:tcMar>
            <w:vAlign w:val="center"/>
          </w:tcPr>
          <w:p w14:paraId="1A6CFEAA">
            <w:pPr>
              <w:spacing w:before="120" w:beforeLines="50" w:after="120" w:afterLines="50"/>
              <w:jc w:val="center"/>
              <w:rPr>
                <w:rFonts w:hint="eastAsia" w:ascii="宋体" w:hAnsi="宋体" w:eastAsia="宋体" w:cs="宋体"/>
                <w:color w:val="auto"/>
                <w:sz w:val="24"/>
                <w:highlight w:val="none"/>
              </w:rPr>
            </w:pPr>
          </w:p>
        </w:tc>
        <w:tc>
          <w:tcPr>
            <w:tcW w:w="2313"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0CC37065">
            <w:pPr>
              <w:spacing w:before="120" w:beforeLines="50" w:after="120" w:afterLines="50"/>
              <w:jc w:val="center"/>
              <w:rPr>
                <w:rFonts w:hint="eastAsia" w:ascii="宋体" w:hAnsi="宋体" w:eastAsia="宋体" w:cs="宋体"/>
                <w:color w:val="auto"/>
                <w:sz w:val="24"/>
                <w:highlight w:val="none"/>
              </w:rPr>
            </w:pPr>
          </w:p>
        </w:tc>
        <w:tc>
          <w:tcPr>
            <w:tcW w:w="762"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777A3AF6">
            <w:pPr>
              <w:spacing w:before="120" w:beforeLines="50" w:after="120" w:afterLines="50"/>
              <w:jc w:val="center"/>
              <w:rPr>
                <w:rFonts w:hint="eastAsia" w:ascii="宋体" w:hAnsi="宋体" w:eastAsia="宋体" w:cs="宋体"/>
                <w:color w:val="auto"/>
                <w:sz w:val="24"/>
                <w:highlight w:val="none"/>
              </w:rPr>
            </w:pPr>
          </w:p>
        </w:tc>
        <w:tc>
          <w:tcPr>
            <w:tcW w:w="1327"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120677AB">
            <w:pPr>
              <w:spacing w:before="120" w:beforeLines="50" w:after="120" w:afterLines="50"/>
              <w:jc w:val="center"/>
              <w:rPr>
                <w:rFonts w:hint="eastAsia" w:ascii="宋体" w:hAnsi="宋体" w:eastAsia="宋体" w:cs="宋体"/>
                <w:color w:val="auto"/>
                <w:sz w:val="24"/>
                <w:highlight w:val="none"/>
              </w:rPr>
            </w:pPr>
          </w:p>
        </w:tc>
        <w:tc>
          <w:tcPr>
            <w:tcW w:w="861"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76A592DF">
            <w:pPr>
              <w:spacing w:before="120" w:beforeLines="50" w:after="120" w:afterLines="50"/>
              <w:jc w:val="center"/>
              <w:rPr>
                <w:rFonts w:hint="eastAsia" w:ascii="宋体" w:hAnsi="宋体" w:eastAsia="宋体" w:cs="宋体"/>
                <w:color w:val="auto"/>
                <w:sz w:val="24"/>
                <w:highlight w:val="none"/>
              </w:rPr>
            </w:pPr>
          </w:p>
        </w:tc>
        <w:tc>
          <w:tcPr>
            <w:tcW w:w="1418"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0708968B">
            <w:pPr>
              <w:spacing w:before="120" w:beforeLines="50" w:after="120" w:afterLines="50"/>
              <w:jc w:val="center"/>
              <w:rPr>
                <w:rFonts w:hint="eastAsia" w:ascii="宋体" w:hAnsi="宋体" w:eastAsia="宋体" w:cs="宋体"/>
                <w:color w:val="auto"/>
                <w:sz w:val="24"/>
                <w:highlight w:val="none"/>
              </w:rPr>
            </w:pPr>
          </w:p>
        </w:tc>
        <w:tc>
          <w:tcPr>
            <w:tcW w:w="1060"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2EF4069F">
            <w:pPr>
              <w:spacing w:before="120" w:beforeLines="50" w:after="120" w:afterLines="50"/>
              <w:jc w:val="center"/>
              <w:rPr>
                <w:rFonts w:hint="eastAsia" w:ascii="宋体" w:hAnsi="宋体" w:eastAsia="宋体" w:cs="宋体"/>
                <w:color w:val="auto"/>
                <w:sz w:val="24"/>
                <w:highlight w:val="none"/>
              </w:rPr>
            </w:pPr>
          </w:p>
        </w:tc>
      </w:tr>
      <w:tr w14:paraId="77368320">
        <w:tblPrEx>
          <w:tblCellMar>
            <w:top w:w="0" w:type="dxa"/>
            <w:left w:w="0" w:type="dxa"/>
            <w:bottom w:w="0" w:type="dxa"/>
            <w:right w:w="0" w:type="dxa"/>
          </w:tblCellMar>
        </w:tblPrEx>
        <w:trPr>
          <w:trHeight w:val="773" w:hRule="atLeast"/>
          <w:jc w:val="center"/>
        </w:trPr>
        <w:tc>
          <w:tcPr>
            <w:tcW w:w="658" w:type="dxa"/>
            <w:tcBorders>
              <w:top w:val="single" w:color="auto" w:sz="8" w:space="0"/>
              <w:left w:val="single" w:color="auto" w:sz="8" w:space="0"/>
              <w:bottom w:val="single" w:color="auto" w:sz="8" w:space="0"/>
              <w:right w:val="single" w:color="auto" w:sz="8" w:space="0"/>
            </w:tcBorders>
            <w:noWrap w:val="0"/>
            <w:tcMar>
              <w:top w:w="0" w:type="dxa"/>
              <w:left w:w="108" w:type="dxa"/>
              <w:bottom w:w="0" w:type="dxa"/>
              <w:right w:w="108" w:type="dxa"/>
            </w:tcMar>
            <w:vAlign w:val="center"/>
          </w:tcPr>
          <w:p w14:paraId="008AC82C">
            <w:pPr>
              <w:spacing w:before="120" w:beforeLines="50" w:after="120" w:afterLines="50"/>
              <w:jc w:val="center"/>
              <w:rPr>
                <w:rFonts w:hint="eastAsia" w:ascii="宋体" w:hAnsi="宋体" w:eastAsia="宋体" w:cs="宋体"/>
                <w:color w:val="auto"/>
                <w:sz w:val="24"/>
                <w:highlight w:val="none"/>
              </w:rPr>
            </w:pPr>
          </w:p>
        </w:tc>
        <w:tc>
          <w:tcPr>
            <w:tcW w:w="2313"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7FE91C36">
            <w:pPr>
              <w:spacing w:before="120" w:beforeLines="50" w:after="120" w:afterLines="50"/>
              <w:jc w:val="center"/>
              <w:rPr>
                <w:rFonts w:hint="eastAsia" w:ascii="宋体" w:hAnsi="宋体" w:eastAsia="宋体" w:cs="宋体"/>
                <w:color w:val="auto"/>
                <w:sz w:val="24"/>
                <w:highlight w:val="none"/>
              </w:rPr>
            </w:pPr>
          </w:p>
        </w:tc>
        <w:tc>
          <w:tcPr>
            <w:tcW w:w="762"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2781E615">
            <w:pPr>
              <w:spacing w:before="120" w:beforeLines="50" w:after="120" w:afterLines="50"/>
              <w:jc w:val="center"/>
              <w:rPr>
                <w:rFonts w:hint="eastAsia" w:ascii="宋体" w:hAnsi="宋体" w:eastAsia="宋体" w:cs="宋体"/>
                <w:color w:val="auto"/>
                <w:sz w:val="24"/>
                <w:highlight w:val="none"/>
              </w:rPr>
            </w:pPr>
          </w:p>
        </w:tc>
        <w:tc>
          <w:tcPr>
            <w:tcW w:w="1327"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2489CAAD">
            <w:pPr>
              <w:spacing w:before="120" w:beforeLines="50" w:after="120" w:afterLines="50"/>
              <w:jc w:val="center"/>
              <w:rPr>
                <w:rFonts w:hint="eastAsia" w:ascii="宋体" w:hAnsi="宋体" w:eastAsia="宋体" w:cs="宋体"/>
                <w:color w:val="auto"/>
                <w:sz w:val="24"/>
                <w:highlight w:val="none"/>
              </w:rPr>
            </w:pPr>
          </w:p>
        </w:tc>
        <w:tc>
          <w:tcPr>
            <w:tcW w:w="861"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494CA54E">
            <w:pPr>
              <w:spacing w:before="120" w:beforeLines="50" w:after="120" w:afterLines="50"/>
              <w:jc w:val="center"/>
              <w:rPr>
                <w:rFonts w:hint="eastAsia" w:ascii="宋体" w:hAnsi="宋体" w:eastAsia="宋体" w:cs="宋体"/>
                <w:color w:val="auto"/>
                <w:sz w:val="24"/>
                <w:highlight w:val="none"/>
              </w:rPr>
            </w:pPr>
          </w:p>
        </w:tc>
        <w:tc>
          <w:tcPr>
            <w:tcW w:w="1418"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7750ED5F">
            <w:pPr>
              <w:spacing w:before="120" w:beforeLines="50" w:after="120" w:afterLines="50"/>
              <w:jc w:val="center"/>
              <w:rPr>
                <w:rFonts w:hint="eastAsia" w:ascii="宋体" w:hAnsi="宋体" w:eastAsia="宋体" w:cs="宋体"/>
                <w:color w:val="auto"/>
                <w:sz w:val="24"/>
                <w:highlight w:val="none"/>
              </w:rPr>
            </w:pPr>
          </w:p>
        </w:tc>
        <w:tc>
          <w:tcPr>
            <w:tcW w:w="1060"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412CD0A4">
            <w:pPr>
              <w:spacing w:before="120" w:beforeLines="50" w:after="120" w:afterLines="50"/>
              <w:jc w:val="center"/>
              <w:rPr>
                <w:rFonts w:hint="eastAsia" w:ascii="宋体" w:hAnsi="宋体" w:eastAsia="宋体" w:cs="宋体"/>
                <w:color w:val="auto"/>
                <w:sz w:val="24"/>
                <w:highlight w:val="none"/>
              </w:rPr>
            </w:pPr>
          </w:p>
        </w:tc>
      </w:tr>
      <w:tr w14:paraId="5136770A">
        <w:tblPrEx>
          <w:tblCellMar>
            <w:top w:w="0" w:type="dxa"/>
            <w:left w:w="0" w:type="dxa"/>
            <w:bottom w:w="0" w:type="dxa"/>
            <w:right w:w="0" w:type="dxa"/>
          </w:tblCellMar>
        </w:tblPrEx>
        <w:trPr>
          <w:trHeight w:val="773" w:hRule="atLeast"/>
          <w:jc w:val="center"/>
        </w:trPr>
        <w:tc>
          <w:tcPr>
            <w:tcW w:w="658" w:type="dxa"/>
            <w:tcBorders>
              <w:top w:val="single" w:color="auto" w:sz="8" w:space="0"/>
              <w:left w:val="single" w:color="auto" w:sz="8" w:space="0"/>
              <w:bottom w:val="single" w:color="auto" w:sz="8" w:space="0"/>
              <w:right w:val="single" w:color="auto" w:sz="8" w:space="0"/>
            </w:tcBorders>
            <w:noWrap w:val="0"/>
            <w:tcMar>
              <w:top w:w="0" w:type="dxa"/>
              <w:left w:w="108" w:type="dxa"/>
              <w:bottom w:w="0" w:type="dxa"/>
              <w:right w:w="108" w:type="dxa"/>
            </w:tcMar>
            <w:vAlign w:val="center"/>
          </w:tcPr>
          <w:p w14:paraId="6B33ABBC">
            <w:pPr>
              <w:spacing w:before="120" w:beforeLines="50" w:after="120" w:afterLines="50"/>
              <w:jc w:val="center"/>
              <w:rPr>
                <w:rFonts w:hint="eastAsia" w:ascii="宋体" w:hAnsi="宋体" w:eastAsia="宋体" w:cs="宋体"/>
                <w:color w:val="auto"/>
                <w:sz w:val="24"/>
                <w:highlight w:val="none"/>
              </w:rPr>
            </w:pPr>
          </w:p>
        </w:tc>
        <w:tc>
          <w:tcPr>
            <w:tcW w:w="2313"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65DF1EC0">
            <w:pPr>
              <w:spacing w:before="120" w:beforeLines="50" w:after="120" w:afterLines="50"/>
              <w:jc w:val="center"/>
              <w:rPr>
                <w:rFonts w:hint="eastAsia" w:ascii="宋体" w:hAnsi="宋体" w:eastAsia="宋体" w:cs="宋体"/>
                <w:color w:val="auto"/>
                <w:sz w:val="24"/>
                <w:highlight w:val="none"/>
              </w:rPr>
            </w:pPr>
          </w:p>
        </w:tc>
        <w:tc>
          <w:tcPr>
            <w:tcW w:w="762"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06F0FB62">
            <w:pPr>
              <w:spacing w:before="120" w:beforeLines="50" w:after="120" w:afterLines="50"/>
              <w:jc w:val="center"/>
              <w:rPr>
                <w:rFonts w:hint="eastAsia" w:ascii="宋体" w:hAnsi="宋体" w:eastAsia="宋体" w:cs="宋体"/>
                <w:color w:val="auto"/>
                <w:sz w:val="24"/>
                <w:highlight w:val="none"/>
              </w:rPr>
            </w:pPr>
          </w:p>
        </w:tc>
        <w:tc>
          <w:tcPr>
            <w:tcW w:w="1327"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23788606">
            <w:pPr>
              <w:spacing w:before="120" w:beforeLines="50" w:after="120" w:afterLines="50"/>
              <w:jc w:val="center"/>
              <w:rPr>
                <w:rFonts w:hint="eastAsia" w:ascii="宋体" w:hAnsi="宋体" w:eastAsia="宋体" w:cs="宋体"/>
                <w:color w:val="auto"/>
                <w:sz w:val="24"/>
                <w:highlight w:val="none"/>
              </w:rPr>
            </w:pPr>
          </w:p>
        </w:tc>
        <w:tc>
          <w:tcPr>
            <w:tcW w:w="861"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785057F8">
            <w:pPr>
              <w:spacing w:before="120" w:beforeLines="50" w:after="120" w:afterLines="50"/>
              <w:jc w:val="center"/>
              <w:rPr>
                <w:rFonts w:hint="eastAsia" w:ascii="宋体" w:hAnsi="宋体" w:eastAsia="宋体" w:cs="宋体"/>
                <w:color w:val="auto"/>
                <w:sz w:val="24"/>
                <w:highlight w:val="none"/>
              </w:rPr>
            </w:pPr>
          </w:p>
        </w:tc>
        <w:tc>
          <w:tcPr>
            <w:tcW w:w="1418"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24E2FE6D">
            <w:pPr>
              <w:spacing w:before="120" w:beforeLines="50" w:after="120" w:afterLines="50"/>
              <w:jc w:val="center"/>
              <w:rPr>
                <w:rFonts w:hint="eastAsia" w:ascii="宋体" w:hAnsi="宋体" w:eastAsia="宋体" w:cs="宋体"/>
                <w:color w:val="auto"/>
                <w:sz w:val="24"/>
                <w:highlight w:val="none"/>
              </w:rPr>
            </w:pPr>
          </w:p>
        </w:tc>
        <w:tc>
          <w:tcPr>
            <w:tcW w:w="1060"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6663E20A">
            <w:pPr>
              <w:spacing w:before="120" w:beforeLines="50" w:after="120" w:afterLines="50"/>
              <w:jc w:val="center"/>
              <w:rPr>
                <w:rFonts w:hint="eastAsia" w:ascii="宋体" w:hAnsi="宋体" w:eastAsia="宋体" w:cs="宋体"/>
                <w:color w:val="auto"/>
                <w:sz w:val="24"/>
                <w:highlight w:val="none"/>
              </w:rPr>
            </w:pPr>
          </w:p>
        </w:tc>
      </w:tr>
      <w:tr w14:paraId="0F11B533">
        <w:tblPrEx>
          <w:tblCellMar>
            <w:top w:w="0" w:type="dxa"/>
            <w:left w:w="0" w:type="dxa"/>
            <w:bottom w:w="0" w:type="dxa"/>
            <w:right w:w="0" w:type="dxa"/>
          </w:tblCellMar>
        </w:tblPrEx>
        <w:trPr>
          <w:trHeight w:val="773" w:hRule="atLeast"/>
          <w:jc w:val="center"/>
        </w:trPr>
        <w:tc>
          <w:tcPr>
            <w:tcW w:w="658" w:type="dxa"/>
            <w:tcBorders>
              <w:top w:val="single" w:color="auto" w:sz="8" w:space="0"/>
              <w:left w:val="single" w:color="auto" w:sz="8" w:space="0"/>
              <w:bottom w:val="single" w:color="auto" w:sz="8" w:space="0"/>
              <w:right w:val="single" w:color="auto" w:sz="8" w:space="0"/>
            </w:tcBorders>
            <w:noWrap w:val="0"/>
            <w:tcMar>
              <w:top w:w="0" w:type="dxa"/>
              <w:left w:w="108" w:type="dxa"/>
              <w:bottom w:w="0" w:type="dxa"/>
              <w:right w:w="108" w:type="dxa"/>
            </w:tcMar>
            <w:vAlign w:val="center"/>
          </w:tcPr>
          <w:p w14:paraId="47DB247A">
            <w:pPr>
              <w:spacing w:before="120" w:beforeLines="50" w:after="120" w:afterLines="50"/>
              <w:jc w:val="center"/>
              <w:rPr>
                <w:rFonts w:hint="eastAsia" w:ascii="宋体" w:hAnsi="宋体" w:eastAsia="宋体" w:cs="宋体"/>
                <w:color w:val="auto"/>
                <w:sz w:val="24"/>
                <w:highlight w:val="none"/>
              </w:rPr>
            </w:pPr>
          </w:p>
        </w:tc>
        <w:tc>
          <w:tcPr>
            <w:tcW w:w="2313"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4BDEC693">
            <w:pPr>
              <w:spacing w:before="120" w:beforeLines="50" w:after="120" w:afterLines="50"/>
              <w:jc w:val="center"/>
              <w:rPr>
                <w:rFonts w:hint="eastAsia" w:ascii="宋体" w:hAnsi="宋体" w:eastAsia="宋体" w:cs="宋体"/>
                <w:color w:val="auto"/>
                <w:sz w:val="24"/>
                <w:highlight w:val="none"/>
              </w:rPr>
            </w:pPr>
          </w:p>
        </w:tc>
        <w:tc>
          <w:tcPr>
            <w:tcW w:w="762"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29708F65">
            <w:pPr>
              <w:spacing w:before="120" w:beforeLines="50" w:after="120" w:afterLines="50"/>
              <w:jc w:val="center"/>
              <w:rPr>
                <w:rFonts w:hint="eastAsia" w:ascii="宋体" w:hAnsi="宋体" w:eastAsia="宋体" w:cs="宋体"/>
                <w:color w:val="auto"/>
                <w:sz w:val="24"/>
                <w:highlight w:val="none"/>
              </w:rPr>
            </w:pPr>
          </w:p>
        </w:tc>
        <w:tc>
          <w:tcPr>
            <w:tcW w:w="1327"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0431E585">
            <w:pPr>
              <w:spacing w:before="120" w:beforeLines="50" w:after="120" w:afterLines="50"/>
              <w:jc w:val="center"/>
              <w:rPr>
                <w:rFonts w:hint="eastAsia" w:ascii="宋体" w:hAnsi="宋体" w:eastAsia="宋体" w:cs="宋体"/>
                <w:color w:val="auto"/>
                <w:sz w:val="24"/>
                <w:highlight w:val="none"/>
              </w:rPr>
            </w:pPr>
          </w:p>
        </w:tc>
        <w:tc>
          <w:tcPr>
            <w:tcW w:w="861"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57898C70">
            <w:pPr>
              <w:spacing w:before="120" w:beforeLines="50" w:after="120" w:afterLines="50"/>
              <w:jc w:val="center"/>
              <w:rPr>
                <w:rFonts w:hint="eastAsia" w:ascii="宋体" w:hAnsi="宋体" w:eastAsia="宋体" w:cs="宋体"/>
                <w:color w:val="auto"/>
                <w:sz w:val="24"/>
                <w:highlight w:val="none"/>
              </w:rPr>
            </w:pPr>
          </w:p>
        </w:tc>
        <w:tc>
          <w:tcPr>
            <w:tcW w:w="1418"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0E571A9F">
            <w:pPr>
              <w:spacing w:before="120" w:beforeLines="50" w:after="120" w:afterLines="50"/>
              <w:jc w:val="center"/>
              <w:rPr>
                <w:rFonts w:hint="eastAsia" w:ascii="宋体" w:hAnsi="宋体" w:eastAsia="宋体" w:cs="宋体"/>
                <w:color w:val="auto"/>
                <w:sz w:val="24"/>
                <w:highlight w:val="none"/>
              </w:rPr>
            </w:pPr>
          </w:p>
        </w:tc>
        <w:tc>
          <w:tcPr>
            <w:tcW w:w="1060"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0E9F79F0">
            <w:pPr>
              <w:spacing w:before="120" w:beforeLines="50" w:after="120" w:afterLines="50"/>
              <w:jc w:val="center"/>
              <w:rPr>
                <w:rFonts w:hint="eastAsia" w:ascii="宋体" w:hAnsi="宋体" w:eastAsia="宋体" w:cs="宋体"/>
                <w:color w:val="auto"/>
                <w:sz w:val="24"/>
                <w:highlight w:val="none"/>
              </w:rPr>
            </w:pPr>
          </w:p>
        </w:tc>
      </w:tr>
      <w:tr w14:paraId="77AD2516">
        <w:tblPrEx>
          <w:tblCellMar>
            <w:top w:w="0" w:type="dxa"/>
            <w:left w:w="0" w:type="dxa"/>
            <w:bottom w:w="0" w:type="dxa"/>
            <w:right w:w="0" w:type="dxa"/>
          </w:tblCellMar>
        </w:tblPrEx>
        <w:trPr>
          <w:trHeight w:val="773" w:hRule="atLeast"/>
          <w:jc w:val="center"/>
        </w:trPr>
        <w:tc>
          <w:tcPr>
            <w:tcW w:w="658" w:type="dxa"/>
            <w:tcBorders>
              <w:top w:val="single" w:color="auto" w:sz="8" w:space="0"/>
              <w:left w:val="single" w:color="auto" w:sz="8" w:space="0"/>
              <w:bottom w:val="single" w:color="auto" w:sz="8" w:space="0"/>
              <w:right w:val="single" w:color="auto" w:sz="8" w:space="0"/>
            </w:tcBorders>
            <w:noWrap w:val="0"/>
            <w:tcMar>
              <w:top w:w="0" w:type="dxa"/>
              <w:left w:w="108" w:type="dxa"/>
              <w:bottom w:w="0" w:type="dxa"/>
              <w:right w:w="108" w:type="dxa"/>
            </w:tcMar>
            <w:vAlign w:val="center"/>
          </w:tcPr>
          <w:p w14:paraId="76954345">
            <w:pPr>
              <w:spacing w:before="120" w:beforeLines="50" w:after="120" w:afterLines="50"/>
              <w:jc w:val="center"/>
              <w:rPr>
                <w:rFonts w:hint="eastAsia" w:ascii="宋体" w:hAnsi="宋体" w:eastAsia="宋体" w:cs="宋体"/>
                <w:color w:val="auto"/>
                <w:sz w:val="24"/>
                <w:highlight w:val="none"/>
              </w:rPr>
            </w:pPr>
          </w:p>
        </w:tc>
        <w:tc>
          <w:tcPr>
            <w:tcW w:w="2313"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747565AB">
            <w:pPr>
              <w:spacing w:before="120" w:beforeLines="50" w:after="120" w:afterLines="50"/>
              <w:jc w:val="center"/>
              <w:rPr>
                <w:rFonts w:hint="eastAsia" w:ascii="宋体" w:hAnsi="宋体" w:eastAsia="宋体" w:cs="宋体"/>
                <w:color w:val="auto"/>
                <w:sz w:val="24"/>
                <w:highlight w:val="none"/>
              </w:rPr>
            </w:pPr>
          </w:p>
        </w:tc>
        <w:tc>
          <w:tcPr>
            <w:tcW w:w="762"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55841111">
            <w:pPr>
              <w:spacing w:before="120" w:beforeLines="50" w:after="120" w:afterLines="50"/>
              <w:jc w:val="center"/>
              <w:rPr>
                <w:rFonts w:hint="eastAsia" w:ascii="宋体" w:hAnsi="宋体" w:eastAsia="宋体" w:cs="宋体"/>
                <w:color w:val="auto"/>
                <w:sz w:val="24"/>
                <w:highlight w:val="none"/>
              </w:rPr>
            </w:pPr>
          </w:p>
        </w:tc>
        <w:tc>
          <w:tcPr>
            <w:tcW w:w="1327"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39FF2094">
            <w:pPr>
              <w:spacing w:before="120" w:beforeLines="50" w:after="120" w:afterLines="50"/>
              <w:jc w:val="center"/>
              <w:rPr>
                <w:rFonts w:hint="eastAsia" w:ascii="宋体" w:hAnsi="宋体" w:eastAsia="宋体" w:cs="宋体"/>
                <w:color w:val="auto"/>
                <w:sz w:val="24"/>
                <w:highlight w:val="none"/>
              </w:rPr>
            </w:pPr>
          </w:p>
        </w:tc>
        <w:tc>
          <w:tcPr>
            <w:tcW w:w="861"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797D615E">
            <w:pPr>
              <w:spacing w:before="120" w:beforeLines="50" w:after="120" w:afterLines="50"/>
              <w:jc w:val="center"/>
              <w:rPr>
                <w:rFonts w:hint="eastAsia" w:ascii="宋体" w:hAnsi="宋体" w:eastAsia="宋体" w:cs="宋体"/>
                <w:color w:val="auto"/>
                <w:sz w:val="24"/>
                <w:highlight w:val="none"/>
              </w:rPr>
            </w:pPr>
          </w:p>
        </w:tc>
        <w:tc>
          <w:tcPr>
            <w:tcW w:w="1418"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10177F2F">
            <w:pPr>
              <w:spacing w:before="120" w:beforeLines="50" w:after="120" w:afterLines="50"/>
              <w:jc w:val="center"/>
              <w:rPr>
                <w:rFonts w:hint="eastAsia" w:ascii="宋体" w:hAnsi="宋体" w:eastAsia="宋体" w:cs="宋体"/>
                <w:color w:val="auto"/>
                <w:sz w:val="24"/>
                <w:highlight w:val="none"/>
              </w:rPr>
            </w:pPr>
          </w:p>
        </w:tc>
        <w:tc>
          <w:tcPr>
            <w:tcW w:w="1060"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02E77E73">
            <w:pPr>
              <w:spacing w:before="120" w:beforeLines="50" w:after="120" w:afterLines="50"/>
              <w:jc w:val="center"/>
              <w:rPr>
                <w:rFonts w:hint="eastAsia" w:ascii="宋体" w:hAnsi="宋体" w:eastAsia="宋体" w:cs="宋体"/>
                <w:color w:val="auto"/>
                <w:sz w:val="24"/>
                <w:highlight w:val="none"/>
              </w:rPr>
            </w:pPr>
          </w:p>
        </w:tc>
      </w:tr>
      <w:tr w14:paraId="74DF06C9">
        <w:tblPrEx>
          <w:tblCellMar>
            <w:top w:w="0" w:type="dxa"/>
            <w:left w:w="0" w:type="dxa"/>
            <w:bottom w:w="0" w:type="dxa"/>
            <w:right w:w="0" w:type="dxa"/>
          </w:tblCellMar>
        </w:tblPrEx>
        <w:trPr>
          <w:trHeight w:val="773" w:hRule="atLeast"/>
          <w:jc w:val="center"/>
        </w:trPr>
        <w:tc>
          <w:tcPr>
            <w:tcW w:w="658" w:type="dxa"/>
            <w:tcBorders>
              <w:top w:val="single" w:color="auto" w:sz="8" w:space="0"/>
              <w:left w:val="single" w:color="auto" w:sz="8" w:space="0"/>
              <w:bottom w:val="single" w:color="auto" w:sz="8" w:space="0"/>
              <w:right w:val="single" w:color="auto" w:sz="8" w:space="0"/>
            </w:tcBorders>
            <w:noWrap w:val="0"/>
            <w:tcMar>
              <w:top w:w="0" w:type="dxa"/>
              <w:left w:w="108" w:type="dxa"/>
              <w:bottom w:w="0" w:type="dxa"/>
              <w:right w:w="108" w:type="dxa"/>
            </w:tcMar>
            <w:vAlign w:val="center"/>
          </w:tcPr>
          <w:p w14:paraId="1E99AA75">
            <w:pPr>
              <w:spacing w:before="120" w:beforeLines="50" w:after="120" w:afterLines="50"/>
              <w:jc w:val="center"/>
              <w:rPr>
                <w:rFonts w:hint="eastAsia" w:ascii="宋体" w:hAnsi="宋体" w:eastAsia="宋体" w:cs="宋体"/>
                <w:color w:val="auto"/>
                <w:sz w:val="24"/>
                <w:highlight w:val="none"/>
              </w:rPr>
            </w:pPr>
          </w:p>
        </w:tc>
        <w:tc>
          <w:tcPr>
            <w:tcW w:w="2313"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14C97B3C">
            <w:pPr>
              <w:spacing w:before="120" w:beforeLines="50" w:after="120" w:afterLines="50"/>
              <w:jc w:val="center"/>
              <w:rPr>
                <w:rFonts w:hint="eastAsia" w:ascii="宋体" w:hAnsi="宋体" w:eastAsia="宋体" w:cs="宋体"/>
                <w:color w:val="auto"/>
                <w:sz w:val="24"/>
                <w:highlight w:val="none"/>
              </w:rPr>
            </w:pPr>
          </w:p>
        </w:tc>
        <w:tc>
          <w:tcPr>
            <w:tcW w:w="762"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17864B93">
            <w:pPr>
              <w:spacing w:before="120" w:beforeLines="50" w:after="120" w:afterLines="50"/>
              <w:jc w:val="center"/>
              <w:rPr>
                <w:rFonts w:hint="eastAsia" w:ascii="宋体" w:hAnsi="宋体" w:eastAsia="宋体" w:cs="宋体"/>
                <w:color w:val="auto"/>
                <w:sz w:val="24"/>
                <w:highlight w:val="none"/>
              </w:rPr>
            </w:pPr>
          </w:p>
        </w:tc>
        <w:tc>
          <w:tcPr>
            <w:tcW w:w="1327"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6049C51F">
            <w:pPr>
              <w:spacing w:before="120" w:beforeLines="50" w:after="120" w:afterLines="50"/>
              <w:jc w:val="center"/>
              <w:rPr>
                <w:rFonts w:hint="eastAsia" w:ascii="宋体" w:hAnsi="宋体" w:eastAsia="宋体" w:cs="宋体"/>
                <w:color w:val="auto"/>
                <w:sz w:val="24"/>
                <w:highlight w:val="none"/>
              </w:rPr>
            </w:pPr>
          </w:p>
        </w:tc>
        <w:tc>
          <w:tcPr>
            <w:tcW w:w="861"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09237FB4">
            <w:pPr>
              <w:spacing w:before="120" w:beforeLines="50" w:after="120" w:afterLines="50"/>
              <w:jc w:val="center"/>
              <w:rPr>
                <w:rFonts w:hint="eastAsia" w:ascii="宋体" w:hAnsi="宋体" w:eastAsia="宋体" w:cs="宋体"/>
                <w:color w:val="auto"/>
                <w:sz w:val="24"/>
                <w:highlight w:val="none"/>
              </w:rPr>
            </w:pPr>
          </w:p>
        </w:tc>
        <w:tc>
          <w:tcPr>
            <w:tcW w:w="1418"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2635591C">
            <w:pPr>
              <w:spacing w:before="120" w:beforeLines="50" w:after="120" w:afterLines="50"/>
              <w:jc w:val="center"/>
              <w:rPr>
                <w:rFonts w:hint="eastAsia" w:ascii="宋体" w:hAnsi="宋体" w:eastAsia="宋体" w:cs="宋体"/>
                <w:color w:val="auto"/>
                <w:sz w:val="24"/>
                <w:highlight w:val="none"/>
              </w:rPr>
            </w:pPr>
          </w:p>
        </w:tc>
        <w:tc>
          <w:tcPr>
            <w:tcW w:w="1060"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03795ABE">
            <w:pPr>
              <w:spacing w:before="120" w:beforeLines="50" w:after="120" w:afterLines="50"/>
              <w:jc w:val="center"/>
              <w:rPr>
                <w:rFonts w:hint="eastAsia" w:ascii="宋体" w:hAnsi="宋体" w:eastAsia="宋体" w:cs="宋体"/>
                <w:color w:val="auto"/>
                <w:sz w:val="24"/>
                <w:highlight w:val="none"/>
              </w:rPr>
            </w:pPr>
          </w:p>
        </w:tc>
      </w:tr>
    </w:tbl>
    <w:p w14:paraId="3229D9B9">
      <w:pPr>
        <w:spacing w:before="120" w:beforeLines="50" w:after="120" w:afterLines="50"/>
        <w:rPr>
          <w:rFonts w:hint="eastAsia" w:ascii="宋体" w:hAnsi="宋体" w:eastAsia="宋体" w:cs="宋体"/>
          <w:b/>
          <w:color w:val="auto"/>
          <w:sz w:val="24"/>
          <w:highlight w:val="none"/>
        </w:rPr>
      </w:pPr>
    </w:p>
    <w:p w14:paraId="6CB03506">
      <w:pPr>
        <w:spacing w:before="120" w:beforeLines="50" w:after="120" w:afterLines="50"/>
        <w:rPr>
          <w:rFonts w:hint="eastAsia" w:ascii="宋体" w:hAnsi="宋体" w:eastAsia="宋体" w:cs="宋体"/>
          <w:b/>
          <w:color w:val="auto"/>
          <w:sz w:val="24"/>
          <w:highlight w:val="none"/>
        </w:rPr>
      </w:pPr>
    </w:p>
    <w:p w14:paraId="30756B21">
      <w:pPr>
        <w:spacing w:before="120" w:beforeLines="50" w:after="120" w:afterLines="50"/>
        <w:rPr>
          <w:rFonts w:hint="eastAsia" w:ascii="宋体" w:hAnsi="宋体" w:eastAsia="宋体" w:cs="宋体"/>
          <w:color w:val="auto"/>
          <w:sz w:val="24"/>
          <w:highlight w:val="none"/>
        </w:rPr>
      </w:pPr>
      <w:r>
        <w:rPr>
          <w:rFonts w:hint="eastAsia" w:ascii="宋体" w:hAnsi="宋体" w:eastAsia="宋体" w:cs="宋体"/>
          <w:b/>
          <w:color w:val="auto"/>
          <w:sz w:val="24"/>
          <w:highlight w:val="none"/>
        </w:rPr>
        <w:t>附件3：</w:t>
      </w:r>
    </w:p>
    <w:p w14:paraId="6B02FA25">
      <w:pPr>
        <w:keepNext/>
        <w:keepLines/>
        <w:spacing w:before="120" w:beforeLines="50" w:after="120" w:afterLines="50" w:line="360" w:lineRule="auto"/>
        <w:jc w:val="center"/>
        <w:outlineLvl w:val="2"/>
        <w:rPr>
          <w:rFonts w:hint="eastAsia" w:ascii="宋体" w:hAnsi="宋体" w:eastAsia="宋体" w:cs="宋体"/>
          <w:b/>
          <w:bCs/>
          <w:color w:val="auto"/>
          <w:sz w:val="24"/>
          <w:highlight w:val="none"/>
        </w:rPr>
      </w:pPr>
      <w:bookmarkStart w:id="17" w:name="_Toc368069061"/>
      <w:bookmarkStart w:id="18" w:name="_Toc405820971"/>
      <w:bookmarkStart w:id="19" w:name="_Toc405653342"/>
      <w:bookmarkStart w:id="20" w:name="_Toc405800292"/>
      <w:bookmarkStart w:id="21" w:name="_Toc375047928"/>
      <w:bookmarkStart w:id="22" w:name="_Toc405650406"/>
      <w:bookmarkStart w:id="23" w:name="_Toc578"/>
      <w:bookmarkStart w:id="24" w:name="_Toc405821143"/>
      <w:r>
        <w:rPr>
          <w:rFonts w:hint="eastAsia" w:ascii="宋体" w:hAnsi="宋体" w:eastAsia="宋体" w:cs="宋体"/>
          <w:b/>
          <w:bCs/>
          <w:color w:val="auto"/>
          <w:sz w:val="24"/>
          <w:highlight w:val="none"/>
        </w:rPr>
        <w:t>工程质量保修书</w:t>
      </w:r>
      <w:bookmarkEnd w:id="17"/>
      <w:bookmarkEnd w:id="18"/>
      <w:bookmarkEnd w:id="19"/>
      <w:bookmarkEnd w:id="20"/>
      <w:bookmarkEnd w:id="21"/>
      <w:bookmarkEnd w:id="22"/>
      <w:bookmarkEnd w:id="23"/>
      <w:bookmarkEnd w:id="24"/>
    </w:p>
    <w:p w14:paraId="0069C384">
      <w:pPr>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发包人（全称）：</w:t>
      </w:r>
      <w:r>
        <w:rPr>
          <w:rFonts w:hint="eastAsia" w:ascii="宋体" w:hAnsi="宋体" w:eastAsia="宋体" w:cs="宋体"/>
          <w:color w:val="auto"/>
          <w:sz w:val="24"/>
          <w:highlight w:val="none"/>
          <w:u w:val="single"/>
        </w:rPr>
        <w:t xml:space="preserve">                         </w:t>
      </w:r>
    </w:p>
    <w:p w14:paraId="4A861BA5">
      <w:pPr>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 xml:space="preserve">承包人（全称）： </w:t>
      </w:r>
      <w:r>
        <w:rPr>
          <w:rFonts w:hint="eastAsia" w:ascii="宋体" w:hAnsi="宋体" w:eastAsia="宋体" w:cs="宋体"/>
          <w:color w:val="auto"/>
          <w:sz w:val="24"/>
          <w:highlight w:val="none"/>
          <w:u w:val="single"/>
        </w:rPr>
        <w:t xml:space="preserve">                        </w:t>
      </w:r>
    </w:p>
    <w:p w14:paraId="6FEF3802">
      <w:pPr>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为保证</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（工程名称）在合理使用期限内正常使用，发包人、承包人协商一致签订工程质量保修书。承包人在质量保修期内按照有关管理规定及双方约定承担工程质量保修责任。</w:t>
      </w:r>
    </w:p>
    <w:p w14:paraId="6893E3CC">
      <w:pPr>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一、工程质量保修范围和内容 </w:t>
      </w:r>
    </w:p>
    <w:p w14:paraId="13F49637">
      <w:pPr>
        <w:ind w:firstLine="480" w:firstLineChars="20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质量保修范围包括地基基础工程、主体结构工程、屋面防水工程和双方约定的其他土建工程，以及电气管线、上下水管线的安装工程，供热、供冷系统工程等项目。具体质量保修内容双方约定如下：</w:t>
      </w:r>
      <w:r>
        <w:rPr>
          <w:rFonts w:hint="eastAsia" w:ascii="宋体" w:hAnsi="宋体" w:eastAsia="宋体" w:cs="宋体"/>
          <w:color w:val="auto"/>
          <w:sz w:val="24"/>
          <w:highlight w:val="none"/>
          <w:u w:val="single"/>
        </w:rPr>
        <w:t xml:space="preserve">      同承包范围       </w:t>
      </w:r>
    </w:p>
    <w:p w14:paraId="71E435B2">
      <w:pPr>
        <w:spacing w:line="440" w:lineRule="exact"/>
        <w:ind w:firstLine="480" w:firstLineChars="200"/>
        <w:rPr>
          <w:rFonts w:hint="eastAsia" w:ascii="宋体" w:hAnsi="宋体" w:eastAsia="宋体" w:cs="宋体"/>
          <w:color w:val="auto"/>
          <w:sz w:val="24"/>
          <w:highlight w:val="none"/>
        </w:rPr>
      </w:pPr>
      <w:bookmarkStart w:id="25" w:name="_Toc8286"/>
      <w:bookmarkStart w:id="26" w:name="_Toc27229"/>
      <w:bookmarkStart w:id="27" w:name="_Toc29996"/>
      <w:bookmarkStart w:id="28" w:name="_Toc29594"/>
      <w:r>
        <w:rPr>
          <w:rFonts w:hint="eastAsia" w:ascii="宋体" w:hAnsi="宋体" w:eastAsia="宋体" w:cs="宋体"/>
          <w:color w:val="auto"/>
          <w:sz w:val="24"/>
          <w:highlight w:val="none"/>
        </w:rPr>
        <w:t>二、质量保修期</w:t>
      </w:r>
      <w:bookmarkEnd w:id="25"/>
      <w:bookmarkEnd w:id="26"/>
      <w:bookmarkEnd w:id="27"/>
      <w:bookmarkEnd w:id="28"/>
    </w:p>
    <w:p w14:paraId="574538D5">
      <w:pPr>
        <w:spacing w:line="440" w:lineRule="exact"/>
        <w:ind w:firstLine="480" w:firstLineChars="200"/>
        <w:rPr>
          <w:rFonts w:hint="eastAsia" w:ascii="宋体" w:hAnsi="宋体" w:eastAsia="宋体" w:cs="宋体"/>
          <w:color w:val="auto"/>
          <w:sz w:val="24"/>
          <w:highlight w:val="none"/>
        </w:rPr>
      </w:pPr>
      <w:bookmarkStart w:id="29" w:name="_Toc24887"/>
      <w:bookmarkStart w:id="30" w:name="_Toc1023"/>
      <w:bookmarkStart w:id="31" w:name="_Toc2231"/>
      <w:r>
        <w:rPr>
          <w:rFonts w:hint="eastAsia" w:ascii="宋体" w:hAnsi="宋体" w:eastAsia="宋体" w:cs="宋体"/>
          <w:color w:val="auto"/>
          <w:sz w:val="24"/>
          <w:highlight w:val="none"/>
        </w:rPr>
        <w:t>根据《建设工程质量管理条例》及有关规定，工程的质量保修期如下：</w:t>
      </w:r>
      <w:bookmarkEnd w:id="29"/>
      <w:bookmarkEnd w:id="30"/>
      <w:bookmarkEnd w:id="31"/>
    </w:p>
    <w:p w14:paraId="3BDF90AC">
      <w:pPr>
        <w:spacing w:line="440" w:lineRule="exact"/>
        <w:ind w:firstLine="480" w:firstLineChars="200"/>
        <w:rPr>
          <w:rFonts w:hint="eastAsia" w:ascii="宋体" w:hAnsi="宋体" w:eastAsia="宋体" w:cs="宋体"/>
          <w:color w:val="auto"/>
          <w:sz w:val="24"/>
          <w:highlight w:val="none"/>
        </w:rPr>
      </w:pPr>
      <w:bookmarkStart w:id="32" w:name="_Toc19431"/>
      <w:bookmarkStart w:id="33" w:name="_Toc27020"/>
      <w:bookmarkStart w:id="34" w:name="_Toc1933"/>
      <w:bookmarkStart w:id="35" w:name="_Toc23293"/>
      <w:r>
        <w:rPr>
          <w:rFonts w:hint="eastAsia" w:ascii="宋体" w:hAnsi="宋体" w:eastAsia="宋体" w:cs="宋体"/>
          <w:color w:val="auto"/>
          <w:sz w:val="24"/>
          <w:highlight w:val="none"/>
        </w:rPr>
        <w:t>1.地基基础工程和主体结构工程为设计文件规定的工程合理使用年限；</w:t>
      </w:r>
    </w:p>
    <w:p w14:paraId="5338399F">
      <w:pPr>
        <w:spacing w:line="44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2.屋面防水工程、有防水要求的卫生间、房间和外墙面的防渗为</w:t>
      </w:r>
      <w:r>
        <w:rPr>
          <w:rFonts w:hint="eastAsia" w:ascii="宋体" w:hAnsi="宋体" w:eastAsia="宋体" w:cs="宋体"/>
          <w:color w:val="auto"/>
          <w:sz w:val="24"/>
          <w:highlight w:val="none"/>
          <w:u w:val="single"/>
        </w:rPr>
        <w:t xml:space="preserve"> 5 </w:t>
      </w:r>
      <w:r>
        <w:rPr>
          <w:rFonts w:hint="eastAsia" w:ascii="宋体" w:hAnsi="宋体" w:eastAsia="宋体" w:cs="宋体"/>
          <w:color w:val="auto"/>
          <w:sz w:val="24"/>
          <w:highlight w:val="none"/>
        </w:rPr>
        <w:t>年；</w:t>
      </w:r>
    </w:p>
    <w:p w14:paraId="1295D607">
      <w:pPr>
        <w:spacing w:line="44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3.装修工程为</w:t>
      </w:r>
      <w:r>
        <w:rPr>
          <w:rFonts w:hint="eastAsia" w:ascii="宋体" w:hAnsi="宋体" w:eastAsia="宋体" w:cs="宋体"/>
          <w:color w:val="auto"/>
          <w:sz w:val="24"/>
          <w:highlight w:val="none"/>
          <w:u w:val="single"/>
        </w:rPr>
        <w:t xml:space="preserve"> 2 </w:t>
      </w:r>
      <w:r>
        <w:rPr>
          <w:rFonts w:hint="eastAsia" w:ascii="宋体" w:hAnsi="宋体" w:eastAsia="宋体" w:cs="宋体"/>
          <w:color w:val="auto"/>
          <w:sz w:val="24"/>
          <w:highlight w:val="none"/>
        </w:rPr>
        <w:t>年；</w:t>
      </w:r>
    </w:p>
    <w:p w14:paraId="5DC8B0B3">
      <w:pPr>
        <w:spacing w:line="44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4.电气管线、给排水管道、设备安装工程为</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Cs w:val="21"/>
          <w:highlight w:val="none"/>
          <w:u w:val="single"/>
        </w:rPr>
        <w:t>2</w:t>
      </w:r>
      <w:r>
        <w:rPr>
          <w:rFonts w:hint="eastAsia" w:ascii="宋体" w:hAnsi="宋体" w:eastAsia="宋体" w:cs="宋体"/>
          <w:color w:val="auto"/>
          <w:sz w:val="24"/>
          <w:highlight w:val="none"/>
        </w:rPr>
        <w:t>年；</w:t>
      </w:r>
    </w:p>
    <w:p w14:paraId="6EF26EDE">
      <w:pPr>
        <w:spacing w:line="44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5.供热与供冷系统为</w:t>
      </w:r>
      <w:r>
        <w:rPr>
          <w:rFonts w:hint="eastAsia" w:ascii="宋体" w:hAnsi="宋体" w:eastAsia="宋体" w:cs="宋体"/>
          <w:color w:val="auto"/>
          <w:szCs w:val="21"/>
          <w:highlight w:val="none"/>
          <w:u w:val="single"/>
        </w:rPr>
        <w:t xml:space="preserve"> 2</w:t>
      </w:r>
      <w:r>
        <w:rPr>
          <w:rFonts w:hint="eastAsia" w:ascii="宋体" w:hAnsi="宋体" w:eastAsia="宋体" w:cs="宋体"/>
          <w:color w:val="auto"/>
          <w:sz w:val="24"/>
          <w:highlight w:val="none"/>
        </w:rPr>
        <w:t>个采暖期、供冷期；</w:t>
      </w:r>
    </w:p>
    <w:p w14:paraId="70EC8B50">
      <w:pPr>
        <w:spacing w:line="44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6.住宅小区内的给排水设施、道路等配套工程为</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Cs w:val="21"/>
          <w:highlight w:val="none"/>
          <w:u w:val="single"/>
        </w:rPr>
        <w:t xml:space="preserve">2 </w:t>
      </w:r>
      <w:r>
        <w:rPr>
          <w:rFonts w:hint="eastAsia" w:ascii="宋体" w:hAnsi="宋体" w:eastAsia="宋体" w:cs="宋体"/>
          <w:color w:val="auto"/>
          <w:sz w:val="24"/>
          <w:highlight w:val="none"/>
        </w:rPr>
        <w:t>年；</w:t>
      </w:r>
    </w:p>
    <w:p w14:paraId="58620AB4">
      <w:pPr>
        <w:spacing w:line="44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7.其他项目保修期限约定如下</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 w:val="24"/>
          <w:highlight w:val="none"/>
        </w:rPr>
        <w:t>。</w:t>
      </w:r>
    </w:p>
    <w:p w14:paraId="5C0537CB">
      <w:pPr>
        <w:spacing w:line="44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质量保修期自工程竣工验收合格之日起计算。</w:t>
      </w:r>
    </w:p>
    <w:p w14:paraId="666EC576">
      <w:pPr>
        <w:spacing w:line="44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三、缺陷责任期</w:t>
      </w:r>
      <w:bookmarkEnd w:id="32"/>
      <w:bookmarkEnd w:id="33"/>
      <w:bookmarkEnd w:id="34"/>
      <w:bookmarkEnd w:id="35"/>
    </w:p>
    <w:p w14:paraId="20F0A6C8">
      <w:pPr>
        <w:spacing w:line="44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工程缺陷责任期为24个月，缺陷责任期自工程通过竣工验收之日起计算。单位工程先于全部工程进行验收，单位工程缺陷责任期自单位工程验收合格之日起算。</w:t>
      </w:r>
    </w:p>
    <w:p w14:paraId="2F69BFA2">
      <w:pPr>
        <w:spacing w:line="44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缺陷责任期终止后，发包人应退还剩余的质量保证金。</w:t>
      </w:r>
    </w:p>
    <w:p w14:paraId="3A2FFBE9">
      <w:pPr>
        <w:spacing w:line="44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四</w:t>
      </w:r>
      <w:r>
        <w:rPr>
          <w:rFonts w:hint="eastAsia" w:ascii="宋体" w:hAnsi="宋体" w:eastAsia="宋体" w:cs="宋体"/>
          <w:color w:val="auto"/>
          <w:sz w:val="24"/>
          <w:highlight w:val="none"/>
        </w:rPr>
        <w:t xml:space="preserve">、质量保修责任 </w:t>
      </w:r>
    </w:p>
    <w:p w14:paraId="0E3C56BF">
      <w:pPr>
        <w:spacing w:line="44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1、属于保修范围和内容的项目，承包人应在接到修理通知之日后7天内派人修理。承包人不在约定期限内派人修理，发包人可委托其他人员修理，保修费用从质量保修金内扣除。 </w:t>
      </w:r>
    </w:p>
    <w:p w14:paraId="4984BB41">
      <w:pPr>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2、发生须紧急抢修事故（如上水跑水、漏水漏气等），承包人接到事故通知后，应立即到达事故现场抢修。非承包人施工质量引起的事故，抢修费用由发包人承担。 </w:t>
      </w:r>
    </w:p>
    <w:p w14:paraId="59F44490">
      <w:pPr>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3、在国家规定的工程合理使用期限内，承包人确保地基基础工程和主体结构的质量。因承包人原因致使工程在合理使用期限内造成人身和财产损害的，承包人应承担损害赔偿责任。 </w:t>
      </w:r>
    </w:p>
    <w:p w14:paraId="372D3A65">
      <w:pPr>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五</w:t>
      </w:r>
      <w:r>
        <w:rPr>
          <w:rFonts w:hint="eastAsia" w:ascii="宋体" w:hAnsi="宋体" w:eastAsia="宋体" w:cs="宋体"/>
          <w:color w:val="auto"/>
          <w:sz w:val="24"/>
          <w:highlight w:val="none"/>
        </w:rPr>
        <w:t xml:space="preserve">、质量保修金的支付 </w:t>
      </w:r>
    </w:p>
    <w:p w14:paraId="7F01707A">
      <w:pPr>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本项目无质量保修金</w:t>
      </w:r>
      <w:r>
        <w:rPr>
          <w:rFonts w:hint="eastAsia" w:ascii="宋体" w:hAnsi="宋体" w:eastAsia="宋体" w:cs="宋体"/>
          <w:color w:val="auto"/>
          <w:sz w:val="24"/>
          <w:highlight w:val="none"/>
        </w:rPr>
        <w:t xml:space="preserve"> </w:t>
      </w:r>
    </w:p>
    <w:p w14:paraId="50E0215F">
      <w:pPr>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本工程双方约定承包人向发包人支付工程质量保修金金额为</w:t>
      </w:r>
      <w:r>
        <w:rPr>
          <w:rFonts w:hint="eastAsia" w:ascii="宋体" w:hAnsi="宋体" w:eastAsia="宋体" w:cs="宋体"/>
          <w:color w:val="auto"/>
          <w:sz w:val="24"/>
          <w:highlight w:val="none"/>
          <w:u w:val="single"/>
        </w:rPr>
        <w:t xml:space="preserve">  /  </w:t>
      </w:r>
      <w:r>
        <w:rPr>
          <w:rFonts w:hint="eastAsia" w:ascii="宋体" w:hAnsi="宋体" w:eastAsia="宋体" w:cs="宋体"/>
          <w:color w:val="auto"/>
          <w:sz w:val="24"/>
          <w:highlight w:val="none"/>
        </w:rPr>
        <w:t>（大写）。质量保修金银行利率为</w:t>
      </w:r>
      <w:r>
        <w:rPr>
          <w:rFonts w:hint="eastAsia" w:ascii="宋体" w:hAnsi="宋体" w:eastAsia="宋体" w:cs="宋体"/>
          <w:color w:val="auto"/>
          <w:sz w:val="24"/>
          <w:highlight w:val="none"/>
          <w:u w:val="single"/>
        </w:rPr>
        <w:t xml:space="preserve">    /   </w:t>
      </w:r>
      <w:r>
        <w:rPr>
          <w:rFonts w:hint="eastAsia" w:ascii="宋体" w:hAnsi="宋体" w:eastAsia="宋体" w:cs="宋体"/>
          <w:color w:val="auto"/>
          <w:sz w:val="24"/>
          <w:highlight w:val="none"/>
        </w:rPr>
        <w:t xml:space="preserve">。 </w:t>
      </w:r>
    </w:p>
    <w:p w14:paraId="7ECAE965">
      <w:pPr>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六</w:t>
      </w:r>
      <w:r>
        <w:rPr>
          <w:rFonts w:hint="eastAsia" w:ascii="宋体" w:hAnsi="宋体" w:eastAsia="宋体" w:cs="宋体"/>
          <w:color w:val="auto"/>
          <w:sz w:val="24"/>
          <w:highlight w:val="none"/>
        </w:rPr>
        <w:t xml:space="preserve">、质量保修金的返还 </w:t>
      </w:r>
    </w:p>
    <w:p w14:paraId="36578BBC">
      <w:pPr>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发包人在质量保修期满后14天内，将剩余保修金（无息）返还承包人。 </w:t>
      </w:r>
    </w:p>
    <w:p w14:paraId="03A875A1">
      <w:pPr>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七</w:t>
      </w:r>
      <w:r>
        <w:rPr>
          <w:rFonts w:hint="eastAsia" w:ascii="宋体" w:hAnsi="宋体" w:eastAsia="宋体" w:cs="宋体"/>
          <w:color w:val="auto"/>
          <w:sz w:val="24"/>
          <w:highlight w:val="none"/>
        </w:rPr>
        <w:t xml:space="preserve">、其他 </w:t>
      </w:r>
    </w:p>
    <w:p w14:paraId="390F1907">
      <w:pPr>
        <w:ind w:firstLine="480" w:firstLineChars="20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双方约定的其他工程质量保修事项：</w:t>
      </w:r>
      <w:r>
        <w:rPr>
          <w:rFonts w:hint="eastAsia" w:ascii="宋体" w:hAnsi="宋体" w:eastAsia="宋体" w:cs="宋体"/>
          <w:color w:val="auto"/>
          <w:sz w:val="24"/>
          <w:highlight w:val="none"/>
          <w:u w:val="single"/>
        </w:rPr>
        <w:t xml:space="preserve">                       /                         </w:t>
      </w:r>
    </w:p>
    <w:p w14:paraId="72ED8F6A">
      <w:pPr>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本工程质量保修书作为施工合同的附件，由施工合同发包人、承包人双方共同签订。</w:t>
      </w:r>
    </w:p>
    <w:p w14:paraId="43275A70">
      <w:pPr>
        <w:tabs>
          <w:tab w:val="left" w:pos="5000"/>
        </w:tabs>
        <w:spacing w:before="120" w:beforeLines="50" w:after="120" w:afterLines="50" w:line="360" w:lineRule="auto"/>
        <w:rPr>
          <w:rFonts w:hint="eastAsia" w:ascii="宋体" w:hAnsi="宋体" w:eastAsia="宋体" w:cs="宋体"/>
          <w:color w:val="auto"/>
          <w:sz w:val="24"/>
          <w:highlight w:val="none"/>
        </w:rPr>
      </w:pPr>
    </w:p>
    <w:p w14:paraId="56F131B8">
      <w:pPr>
        <w:tabs>
          <w:tab w:val="left" w:pos="5000"/>
        </w:tabs>
        <w:spacing w:before="120" w:beforeLines="50" w:after="120" w:afterLines="50"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发 包 人（公章）：</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      承 包 人（公章）：</w:t>
      </w:r>
      <w:r>
        <w:rPr>
          <w:rFonts w:hint="eastAsia" w:ascii="宋体" w:hAnsi="宋体" w:eastAsia="宋体" w:cs="宋体"/>
          <w:color w:val="auto"/>
          <w:sz w:val="24"/>
          <w:highlight w:val="none"/>
          <w:u w:val="single"/>
        </w:rPr>
        <w:t xml:space="preserve">                      </w:t>
      </w:r>
    </w:p>
    <w:p w14:paraId="47D799E3">
      <w:pPr>
        <w:tabs>
          <w:tab w:val="left" w:pos="5000"/>
        </w:tabs>
        <w:spacing w:before="120" w:beforeLines="50" w:after="120" w:afterLines="50"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法定代表人（签字或盖章）：</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     法定代表人（签字或盖章）：</w:t>
      </w:r>
      <w:r>
        <w:rPr>
          <w:rFonts w:hint="eastAsia" w:ascii="宋体" w:hAnsi="宋体" w:eastAsia="宋体" w:cs="宋体"/>
          <w:color w:val="auto"/>
          <w:sz w:val="24"/>
          <w:highlight w:val="none"/>
          <w:u w:val="single"/>
        </w:rPr>
        <w:t xml:space="preserve">                     </w:t>
      </w:r>
    </w:p>
    <w:p w14:paraId="2FA3C237">
      <w:pPr>
        <w:tabs>
          <w:tab w:val="left" w:pos="5000"/>
        </w:tabs>
        <w:spacing w:before="120" w:beforeLines="50" w:after="120" w:afterLines="50" w:line="360" w:lineRule="auto"/>
        <w:ind w:left="420"/>
        <w:rPr>
          <w:rFonts w:hint="eastAsia" w:ascii="宋体" w:hAnsi="宋体" w:eastAsia="宋体" w:cs="宋体"/>
          <w:color w:val="auto"/>
          <w:sz w:val="24"/>
          <w:highlight w:val="none"/>
        </w:rPr>
      </w:pPr>
    </w:p>
    <w:p w14:paraId="3D256794">
      <w:pPr>
        <w:tabs>
          <w:tab w:val="left" w:pos="5000"/>
        </w:tabs>
        <w:spacing w:before="120" w:beforeLines="50" w:after="120" w:afterLines="50"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_____年_____月_____日                      _____ 年_____月_____日</w:t>
      </w:r>
    </w:p>
    <w:p w14:paraId="0551D990"/>
    <w:sectPr>
      <w:pgSz w:w="11906" w:h="16838"/>
      <w:pgMar w:top="1417" w:right="1417" w:bottom="1417" w:left="1417"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A45EEF"/>
    <w:rsid w:val="0D3F7ECB"/>
    <w:rsid w:val="1546136E"/>
    <w:rsid w:val="3E2110F7"/>
    <w:rsid w:val="461C2B42"/>
    <w:rsid w:val="52C85510"/>
    <w:rsid w:val="65267FE7"/>
    <w:rsid w:val="6E2E6E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Calibri" w:hAnsi="Calibri"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40</Pages>
  <Words>25616</Words>
  <Characters>26561</Characters>
  <Lines>0</Lines>
  <Paragraphs>0</Paragraphs>
  <TotalTime>0</TotalTime>
  <ScaleCrop>false</ScaleCrop>
  <LinksUpToDate>false</LinksUpToDate>
  <CharactersWithSpaces>28811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2024-11-21T01:00:00Z</dcterms:created>
  <dc:creator>Administrator</dc:creator>
  <cp:lastModifiedBy>bling  bling</cp:lastModifiedBy>
  <dcterms:modified xsi:type="dcterms:W3CDTF">2026-07-06T05:54:33Z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1C10D01E1C07409186F26CF3EF43F4E2_12</vt:lpwstr>
  </property>
  <property fmtid="{D5CDD505-2E9C-101B-9397-08002B2CF9AE}" pid="4" name="KSOTemplateDocerSaveRecord">
    <vt:lpwstr>eyJoZGlkIjoiOTM4MWZlYzIyYzlkNWU5YzViOGVkNzkwNTQwYWY4NTMiLCJ1c2VySWQiOiI1NTAzMTkyMTcifQ==</vt:lpwstr>
  </property>
</Properties>
</file>