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版本号：ZCSP-白水县-2026-00106-02520260710002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玉米一喷多促喷防作业服务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ZCSP-白水县-2026-00106-025</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玉米一喷多促喷防作业服务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ZCSP-白水县-2026-00106-025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玉米一喷多促喷防作业服务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针对白水县玉米中后期（穗期）生长特点，实施一次性“一喷多促”一体化植保作业。通过科学配比喷施合规杀虫剂、杀菌剂、高纯度叶面肥、植物生长调节剂及专用飞防助剂，综合防控玉米赤霉病、锈病、白粉病、大小斑病、蚜虫、红蜘蛛、草地贪夜蛾、玉米螟等中后期高发病虫害，同步实现防茎腐、防早衰、促灌浆、增粒重的多重功效，有效降低病虫害危害损失，稳定提升玉米产量与品质，保障区域粮食稳产增收。作业服务总面积≥6万亩，服务质量、药剂标准、作业规范严格按照国家行业标准及采购相关要求执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采购包1（玉米一喷多促喷防作业服务）：属于专门面向中小企业采购。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法定代表人参加磋商的，须提供本人身份证复印件；法定代表人授权他人参加磋商的，须提供法定代表人授权委托书、授权代表身份证、授权代表在本单位近3个月内任意一个月缴纳的养老保险证明。响应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2、营业执照：供应商提供有效存续的企业营业执照（2025年度报告）；</w:t>
      </w:r>
    </w:p>
    <w:p>
      <w:pPr>
        <w:pStyle w:val="null3"/>
      </w:pPr>
      <w:r>
        <w:rPr>
          <w:rFonts w:ascii="仿宋_GB2312" w:hAnsi="仿宋_GB2312" w:cs="仿宋_GB2312" w:eastAsia="仿宋_GB2312"/>
        </w:rPr>
        <w:t>3、财务状况报告：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4、社保缴纳证明：提供2026年1月1日至响应文件递交截止之日任意一个月的社会保障资金缴存单据或社保机构开具的社会保险参保缴费情况证明。依法不需要缴纳社会保障资金的供应商应提供相关证明文件；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信用记录：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0913-3138108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18220320178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采购包1：1,255,600.00元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与采购代理机构依据“财库[2018]2号-财政部关于印发《政府采购代理机构管理暂⾏办法》的通知”第⼗五条规定，约定代理服务费由成交单位⽀付。成交单位在领取成交通知书前⼀次性付清。参照国家计委关于《招标代理服务收费管理暂⾏办法》（计价格〔2002〕1980号）、《国家发展改⾰委关于降低部分建设项⽬收费标准规范收费⾏为等有关问题的通知》（发改价格〔2011〕534号），以合同包成交价为基数，按标准的100%收取。成交单位的代理服务费交纳信息 ⼾ 名：鸿⺠国际⼯程（集团）有限公司渭南分公司 开⼾银⾏：中国建设银⾏股份有限公司渭南朝阳⼤街⽀⾏ 账 号：61050164500800000631 联系⼈：党⽂丽 联系电话：18220320178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在本采购项目实施过程中，如需采用自有或第三方知识成果、技术方案、作业体系及相关知识产权内容的，涉及本项目采购标的的知识产权归属、使用、授权、维权等全部相关事宜，由采购人结合项目实际情况自主确认、统筹协商约定。供应商保证其在项目服务过程中使用的自有及第三方知识产权合法合规、无权属纠纷，可完整支撑本项目实施，不会对采购人及第三方造成知识产权侵权风险；若因供应商擅自使用、违规授权、权属争议引发任何纠纷、索赔及行政处罚，全部责任及经济损失由供应商独立承担。本项目最终形成的整体项目成果、验收资料、防治成果数据等归采购人所有，采购人享有永久使用权、处置权及成果推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以本采购需求、磋商文件、供应商响应文件、正式合同条款、《农业社会化服务农作物病虫害防治服务质量要求》（GB/T32980-2016）及国家、行业相关标准为唯一验收依据。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联系电话：18220320178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针对白水县玉米中后期（穗期）生长特点，实施一次性“一喷多促”一体化植保作业。通过科学配比喷施合规杀虫剂、杀菌剂、高纯度叶面肥、植物生长调节剂及专用飞防助剂，综合防控玉米赤霉病、锈病、白粉病、大小斑病、蚜虫、红蜘蛛、草地贪夜蛾、玉米螟等中后期高发病虫害，同步实现防茎腐、防早衰、促灌浆、增粒重的多重功效，有效降低病虫害危害损失，稳定提升玉米产量与品质，保障区域粮食稳产增收。作业服务总面积≥6万亩，服务质量、药剂标准、作业规范严格按照国家行业标准及采购相关要求执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1,255,600.00</w:t>
      </w:r>
    </w:p>
    <w:p>
      <w:pPr>
        <w:pStyle w:val="null3"/>
      </w:pPr>
      <w:r>
        <w:rPr>
          <w:rFonts w:ascii="仿宋_GB2312" w:hAnsi="仿宋_GB2312" w:cs="仿宋_GB2312" w:eastAsia="仿宋_GB2312"/>
        </w:rPr>
        <w:t>采购包最高限价（元）: 20.92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玉米一喷多促喷防作业服务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1,255,600.00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标的名称：玉米一喷多促喷防作业服务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rPr>
              <w:t>一、执行标准与规范</w:t>
            </w:r>
          </w:p>
          <w:p>
            <w:pPr>
              <w:pStyle w:val="null3"/>
            </w:pPr>
            <w:r>
              <w:rPr>
                <w:rFonts w:ascii="仿宋_GB2312" w:hAnsi="仿宋_GB2312" w:cs="仿宋_GB2312" w:eastAsia="仿宋_GB2312"/>
              </w:rPr>
              <w:t>供应商开展本次喷防作业服务，须严格遵守国家、行业、地方现行有效强制性标准、规范及管理条例，包含但不限于以下文件，所有标准均以最新有效版本为准：</w:t>
            </w:r>
          </w:p>
          <w:p>
            <w:pPr>
              <w:pStyle w:val="null3"/>
            </w:pPr>
            <w:r>
              <w:rPr>
                <w:rFonts w:ascii="仿宋_GB2312" w:hAnsi="仿宋_GB2312" w:cs="仿宋_GB2312" w:eastAsia="仿宋_GB2312"/>
              </w:rPr>
              <w:t>1.《农作物病虫害防治条例》（国务院令第725号）；</w:t>
            </w:r>
          </w:p>
          <w:p>
            <w:pPr>
              <w:pStyle w:val="null3"/>
            </w:pPr>
            <w:r>
              <w:rPr>
                <w:rFonts w:ascii="仿宋_GB2312" w:hAnsi="仿宋_GB2312" w:cs="仿宋_GB2312" w:eastAsia="仿宋_GB2312"/>
              </w:rPr>
              <w:t>2.《农业社会化服务农作物病虫害防治服务质量评价》（GB/T33311-2016）；</w:t>
            </w:r>
          </w:p>
          <w:p>
            <w:pPr>
              <w:pStyle w:val="null3"/>
            </w:pPr>
            <w:r>
              <w:rPr>
                <w:rFonts w:ascii="仿宋_GB2312" w:hAnsi="仿宋_GB2312" w:cs="仿宋_GB2312" w:eastAsia="仿宋_GB2312"/>
              </w:rPr>
              <w:t>3.《农业社会化服务农作物病虫害防治服务质量要求》（GB/T32980-2016）；</w:t>
            </w:r>
          </w:p>
          <w:p>
            <w:pPr>
              <w:pStyle w:val="null3"/>
            </w:pPr>
            <w:r>
              <w:rPr>
                <w:rFonts w:ascii="仿宋_GB2312" w:hAnsi="仿宋_GB2312" w:cs="仿宋_GB2312" w:eastAsia="仿宋_GB2312"/>
              </w:rPr>
              <w:t>4.《农药安全使用标准》《农药合理使用准则》《农药安全使用规范总则》；</w:t>
            </w:r>
          </w:p>
          <w:p>
            <w:pPr>
              <w:pStyle w:val="null3"/>
            </w:pPr>
            <w:r>
              <w:rPr>
                <w:rFonts w:ascii="仿宋_GB2312" w:hAnsi="仿宋_GB2312" w:cs="仿宋_GB2312" w:eastAsia="仿宋_GB2312"/>
              </w:rPr>
              <w:t>5.农业植保、病虫害防控、飞防作业相关国家级、行业现行规范及采购人专项管理要求。</w:t>
            </w:r>
          </w:p>
          <w:p>
            <w:pPr>
              <w:pStyle w:val="null3"/>
            </w:pPr>
            <w:r>
              <w:rPr>
                <w:rFonts w:ascii="仿宋_GB2312" w:hAnsi="仿宋_GB2312" w:cs="仿宋_GB2312" w:eastAsia="仿宋_GB2312"/>
              </w:rPr>
              <w:t>二、项目概况及详细服务指标要求</w:t>
            </w:r>
          </w:p>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本项目针对白水县玉米中后期（穗期）生长特点，实施一次性“一喷多促”一体化植保作业，通过科学配比喷施杀虫剂、杀菌剂、叶面肥、植物生长调节剂及飞防专用助剂，综合防控玉米中后期高发病虫害，同步实现防倒伏、防早衰、促灌浆、增粒重的多重效果，有效降低病虫害危害损失，稳定提升玉米产量与品质，保障区域粮食稳产增收。</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1.打造标准化玉米病虫害应急防治示范区，全面防控玉米赤霉病、锈病、白粉病、大小斑病、蚜虫、红蜘蛛、草地贪夜蛾、玉米螟等中后期主要病虫害；</w:t>
            </w:r>
          </w:p>
          <w:p>
            <w:pPr>
              <w:pStyle w:val="null3"/>
            </w:pPr>
            <w:r>
              <w:rPr>
                <w:rFonts w:ascii="仿宋_GB2312" w:hAnsi="仿宋_GB2312" w:cs="仿宋_GB2312" w:eastAsia="仿宋_GB2312"/>
              </w:rPr>
              <w:t>2.通过标准化植保作业，实现防灾、抗逆、增产多重效果，有效抵御倒伏等气象及生长风险，改善玉米生长态势，提升灌浆效率与籽粒饱满度；</w:t>
            </w:r>
          </w:p>
          <w:p>
            <w:pPr>
              <w:pStyle w:val="null3"/>
            </w:pPr>
            <w:r>
              <w:rPr>
                <w:rFonts w:ascii="仿宋_GB2312" w:hAnsi="仿宋_GB2312" w:cs="仿宋_GB2312" w:eastAsia="仿宋_GB2312"/>
              </w:rPr>
              <w:t>3.全程做好作业台账记录、地块摸排、药剂管控、现场管控、后期效果跟踪等全流程服务。</w:t>
            </w:r>
          </w:p>
          <w:p>
            <w:pPr>
              <w:pStyle w:val="null3"/>
            </w:pPr>
            <w:r>
              <w:rPr>
                <w:rFonts w:ascii="仿宋_GB2312" w:hAnsi="仿宋_GB2312" w:cs="仿宋_GB2312" w:eastAsia="仿宋_GB2312"/>
              </w:rPr>
              <w:t>（三）服务面积</w:t>
            </w:r>
          </w:p>
          <w:p>
            <w:pPr>
              <w:pStyle w:val="null3"/>
            </w:pPr>
            <w:r>
              <w:rPr>
                <w:rFonts w:ascii="仿宋_GB2312" w:hAnsi="仿宋_GB2312" w:cs="仿宋_GB2312" w:eastAsia="仿宋_GB2312"/>
              </w:rPr>
              <w:t>本次喷防作业总面积≥6万亩，最终作业地块以采购人现场确认范围为准，供应商须无条件覆盖指定作业区域，无漏防、弃防情况。</w:t>
            </w:r>
          </w:p>
          <w:p>
            <w:pPr>
              <w:pStyle w:val="null3"/>
            </w:pPr>
            <w:r>
              <w:rPr>
                <w:rFonts w:ascii="仿宋_GB2312" w:hAnsi="仿宋_GB2312" w:cs="仿宋_GB2312" w:eastAsia="仿宋_GB2312"/>
              </w:rPr>
              <w:t>（四）药剂及物料使用标准</w:t>
            </w:r>
          </w:p>
          <w:p>
            <w:pPr>
              <w:pStyle w:val="null3"/>
            </w:pPr>
            <w:r>
              <w:rPr>
                <w:rFonts w:ascii="仿宋_GB2312" w:hAnsi="仿宋_GB2312" w:cs="仿宋_GB2312" w:eastAsia="仿宋_GB2312"/>
              </w:rPr>
              <w:t>本项目所有使用药剂、叶面肥、调节剂、助剂均须三证齐全（农药登记证、农药生产许可证、产品质量标准合格证），符合国家绿色农业、农药安全使用标准，具备高效低毒、安全环保、低残留等特点。产品农药登记证防治靶标与项目防控对象一致，登记作物载明玉米，或登记水稻、小麦、高粱等禾本科大田作物，依据《农药登记管理办法》及农业农村部同类作物延伸使用指导规则，可合规应用于玉米田防治相同病虫害；所有药剂严格按照农药登记证载明推荐剂量配比使用，严禁减量、滥配、使用违禁物资。具体物料选用要求如下：</w:t>
            </w:r>
          </w:p>
          <w:p>
            <w:pPr>
              <w:pStyle w:val="null3"/>
            </w:pPr>
            <w:r>
              <w:rPr>
                <w:rFonts w:ascii="仿宋_GB2312" w:hAnsi="仿宋_GB2312" w:cs="仿宋_GB2312" w:eastAsia="仿宋_GB2312"/>
              </w:rPr>
              <w:t>1.杀虫剂：优先选用甲维盐类、氯虫苯甲酰胺类合规低毒杀虫剂，针对玉米螟、草地贪夜蛾、蚜虫、红蜘蛛防效优良，严格按照农药登记标签推荐剂量施用；</w:t>
            </w:r>
          </w:p>
          <w:p>
            <w:pPr>
              <w:pStyle w:val="null3"/>
            </w:pPr>
            <w:r>
              <w:rPr>
                <w:rFonts w:ascii="仿宋_GB2312" w:hAnsi="仿宋_GB2312" w:cs="仿宋_GB2312" w:eastAsia="仿宋_GB2312"/>
              </w:rPr>
              <w:t>2.杀菌剂：优先选用苯醚甲环唑、吡唑醚菌酯类广谱杀菌剂，适用于玉米锈病、大小斑病、赤霉病、白粉病防治，严格按照农药登记标签推荐剂量施用；</w:t>
            </w:r>
          </w:p>
          <w:p>
            <w:pPr>
              <w:pStyle w:val="null3"/>
            </w:pPr>
            <w:r>
              <w:rPr>
                <w:rFonts w:ascii="仿宋_GB2312" w:hAnsi="仿宋_GB2312" w:cs="仿宋_GB2312" w:eastAsia="仿宋_GB2312"/>
              </w:rPr>
              <w:t>3.叶面肥：农用磷酸二氢钾，主含量KH₂PO₄≥99.0%，达到国家农用优等品标准，每亩施用总量≥100g；</w:t>
            </w:r>
          </w:p>
          <w:p>
            <w:pPr>
              <w:pStyle w:val="null3"/>
            </w:pPr>
            <w:r>
              <w:rPr>
                <w:rFonts w:ascii="仿宋_GB2312" w:hAnsi="仿宋_GB2312" w:cs="仿宋_GB2312" w:eastAsia="仿宋_GB2312"/>
              </w:rPr>
              <w:t>4.植物调节剂：已取得有效农药登记证的0.01%24-表芸苔素内酯产品，严格按照农药登记标签推荐剂量喷施，满足玉米穗期抗逆、促灌浆、防早衰调节需求；</w:t>
            </w:r>
          </w:p>
          <w:p>
            <w:pPr>
              <w:pStyle w:val="null3"/>
            </w:pPr>
            <w:r>
              <w:rPr>
                <w:rFonts w:ascii="仿宋_GB2312" w:hAnsi="仿宋_GB2312" w:cs="仿宋_GB2312" w:eastAsia="仿宋_GB2312"/>
              </w:rPr>
              <w:t>5.飞防助剂：选用油脂类飞防专用助剂，依据产品使用说明规范配比使用，提升药液附着、渗透、延展、抗漂移性能，保障整体防治效果；</w:t>
            </w:r>
          </w:p>
          <w:p>
            <w:pPr>
              <w:pStyle w:val="null3"/>
            </w:pPr>
            <w:r>
              <w:rPr>
                <w:rFonts w:ascii="仿宋_GB2312" w:hAnsi="仿宋_GB2312" w:cs="仿宋_GB2312" w:eastAsia="仿宋_GB2312"/>
              </w:rPr>
              <w:t>6.所有物资均为全新正品、在产品有效期内，无过期、变质、假冒伪劣产品；作业前须向采购人提交全套物资资质台账、产品批次合格证、出厂质量检测报告备查。</w:t>
            </w:r>
          </w:p>
          <w:p>
            <w:pPr>
              <w:pStyle w:val="null3"/>
            </w:pPr>
            <w:r>
              <w:rPr>
                <w:rFonts w:ascii="仿宋_GB2312" w:hAnsi="仿宋_GB2312" w:cs="仿宋_GB2312" w:eastAsia="仿宋_GB2312"/>
              </w:rPr>
              <w:t>（五）作业服务要求</w:t>
            </w:r>
          </w:p>
          <w:p>
            <w:pPr>
              <w:pStyle w:val="null3"/>
            </w:pPr>
            <w:r>
              <w:rPr>
                <w:rFonts w:ascii="仿宋_GB2312" w:hAnsi="仿宋_GB2312" w:cs="仿宋_GB2312" w:eastAsia="仿宋_GB2312"/>
              </w:rPr>
              <w:t>1.作业设备要求：全程采用现代化植保机械设备（无人机、地面植保器械等）作业，设备性能完好、工况稳定，器械管理制度、安全作业制度、设备运维制度健全，作业能力可完全保障6万亩地块在15日历天内保质保量完成；作业人员须具备相应植保作业操作能力，持证上岗、规范操作。</w:t>
            </w:r>
          </w:p>
          <w:p>
            <w:pPr>
              <w:pStyle w:val="null3"/>
            </w:pPr>
            <w:r>
              <w:rPr>
                <w:rFonts w:ascii="仿宋_GB2312" w:hAnsi="仿宋_GB2312" w:cs="仿宋_GB2312" w:eastAsia="仿宋_GB2312"/>
              </w:rPr>
              <w:t>2.防治效果指标：结合当年本地玉米病虫害发生特点、作物生长性状开展精准作业，整体病虫害防治率≥90%，玉米病虫害危害损失率控制在5%以内，作物无大面积病害、虫害蔓延及早衰、倒伏现象。</w:t>
            </w:r>
          </w:p>
          <w:p>
            <w:pPr>
              <w:pStyle w:val="null3"/>
            </w:pPr>
            <w:r>
              <w:rPr>
                <w:rFonts w:ascii="仿宋_GB2312" w:hAnsi="仿宋_GB2312" w:cs="仿宋_GB2312" w:eastAsia="仿宋_GB2312"/>
              </w:rPr>
              <w:t>3.作业时效要求：严格抢抓玉米穗期防治关键窗口期，在合同约定15日历天内完成全部地块排查、喷防作业、台账记录等全部工作，不得延误农时、拖延工期。</w:t>
            </w:r>
          </w:p>
          <w:p>
            <w:pPr>
              <w:pStyle w:val="null3"/>
            </w:pPr>
            <w:r>
              <w:rPr>
                <w:rFonts w:ascii="仿宋_GB2312" w:hAnsi="仿宋_GB2312" w:cs="仿宋_GB2312" w:eastAsia="仿宋_GB2312"/>
              </w:rPr>
              <w:t>4.作业规范要求：统一标准化配比、标准化作业、标准化管控，杜绝漏喷、重喷、少喷、错喷，杜绝药剂配比不达标、作业不到位等问题。</w:t>
            </w:r>
          </w:p>
          <w:p>
            <w:pPr>
              <w:pStyle w:val="null3"/>
            </w:pPr>
            <w:r>
              <w:rPr>
                <w:rFonts w:ascii="仿宋_GB2312" w:hAnsi="仿宋_GB2312" w:cs="仿宋_GB2312" w:eastAsia="仿宋_GB2312"/>
              </w:rPr>
              <w:t>三、项目费用测算及范围</w:t>
            </w:r>
          </w:p>
          <w:p>
            <w:pPr>
              <w:pStyle w:val="null3"/>
            </w:pPr>
            <w:r>
              <w:rPr>
                <w:rFonts w:ascii="仿宋_GB2312" w:hAnsi="仿宋_GB2312" w:cs="仿宋_GB2312" w:eastAsia="仿宋_GB2312"/>
              </w:rPr>
              <w:t>（一）采购预算</w:t>
            </w:r>
          </w:p>
          <w:p>
            <w:pPr>
              <w:pStyle w:val="null3"/>
            </w:pPr>
            <w:r>
              <w:rPr>
                <w:rFonts w:ascii="仿宋_GB2312" w:hAnsi="仿宋_GB2312" w:cs="仿宋_GB2312" w:eastAsia="仿宋_GB2312"/>
              </w:rPr>
              <w:t>本次采购预算125.56万元。</w:t>
            </w:r>
          </w:p>
          <w:p>
            <w:pPr>
              <w:pStyle w:val="null3"/>
            </w:pPr>
            <w:r>
              <w:rPr>
                <w:rFonts w:ascii="仿宋_GB2312" w:hAnsi="仿宋_GB2312" w:cs="仿宋_GB2312" w:eastAsia="仿宋_GB2312"/>
              </w:rPr>
              <w:t>（二）费用范围</w:t>
            </w:r>
          </w:p>
          <w:p>
            <w:pPr>
              <w:pStyle w:val="null3"/>
            </w:pPr>
            <w:r>
              <w:rPr>
                <w:rFonts w:ascii="仿宋_GB2312" w:hAnsi="仿宋_GB2312" w:cs="仿宋_GB2312" w:eastAsia="仿宋_GB2312"/>
              </w:rPr>
              <w:t>本项目为全费用包干模式，合同包干总价包含但不限于：药剂、叶面肥、调节剂、助剂等所有物资采购费、运输费、保管费；人工作业费、设备租赁费、设备运维费、燃油耗材费；项目管理费、现场协调费、资料编制费、验收费、安全保险费、应急处置费、税费、风险金等本项目实施所需全部费用。</w:t>
            </w:r>
          </w:p>
          <w:p>
            <w:pPr>
              <w:pStyle w:val="null3"/>
            </w:pPr>
            <w:r>
              <w:rPr>
                <w:rFonts w:ascii="仿宋_GB2312" w:hAnsi="仿宋_GB2312" w:cs="仿宋_GB2312" w:eastAsia="仿宋_GB2312"/>
              </w:rPr>
              <w:t>除采购人书面正式新增的服务内容外，服务期内采购人不追加任何费用。采购人书面要求增加的服务内容，不额外追加合同费用，由供应商无偿完成。项目所有隐性风险、市场价格波动、作业难度增加等风险均由供应商自行承担。</w:t>
            </w:r>
          </w:p>
          <w:p>
            <w:pPr>
              <w:pStyle w:val="null3"/>
            </w:pPr>
            <w:r>
              <w:rPr>
                <w:rFonts w:ascii="仿宋_GB2312" w:hAnsi="仿宋_GB2312" w:cs="仿宋_GB2312" w:eastAsia="仿宋_GB2312"/>
              </w:rPr>
              <w:t>四、服务质量、人员管理及全过程实施要求</w:t>
            </w:r>
          </w:p>
          <w:p>
            <w:pPr>
              <w:pStyle w:val="null3"/>
            </w:pPr>
            <w:r>
              <w:rPr>
                <w:rFonts w:ascii="仿宋_GB2312" w:hAnsi="仿宋_GB2312" w:cs="仿宋_GB2312" w:eastAsia="仿宋_GB2312"/>
              </w:rPr>
              <w:t>（一）物资质量要求</w:t>
            </w:r>
          </w:p>
          <w:p>
            <w:pPr>
              <w:pStyle w:val="null3"/>
            </w:pPr>
            <w:r>
              <w:rPr>
                <w:rFonts w:ascii="仿宋_GB2312" w:hAnsi="仿宋_GB2312" w:cs="仿宋_GB2312" w:eastAsia="仿宋_GB2312"/>
              </w:rPr>
              <w:t>严格筛选合规农药及农资产品，所有物资三证齐全、在有效期内，完全符合《农药安全使用标准》《农药合理使用准则》等国家规范，杜绝违禁、过期、劣质、不合格产品入场作业。</w:t>
            </w:r>
          </w:p>
          <w:p>
            <w:pPr>
              <w:pStyle w:val="null3"/>
            </w:pPr>
            <w:r>
              <w:rPr>
                <w:rFonts w:ascii="仿宋_GB2312" w:hAnsi="仿宋_GB2312" w:cs="仿宋_GB2312" w:eastAsia="仿宋_GB2312"/>
              </w:rPr>
              <w:t>（二）项目人员配置要求</w:t>
            </w:r>
          </w:p>
          <w:p>
            <w:pPr>
              <w:pStyle w:val="null3"/>
            </w:pPr>
            <w:r>
              <w:rPr>
                <w:rFonts w:ascii="仿宋_GB2312" w:hAnsi="仿宋_GB2312" w:cs="仿宋_GB2312" w:eastAsia="仿宋_GB2312"/>
              </w:rPr>
              <w:t>项目成交后，供应商须在3个工作日内组建专属项目团队，固定配置1名项目负责人+1名专职技术负责人，全程统筹项目进度、作业质量、人员管理、现场协调、问题处置等工作，严格服从采购人管理制度、工作安排，按时参加采购人组织的工作会议、督导检查、验收评审等各项活动。项目核心人员未经采购人同意不得擅自更换。</w:t>
            </w:r>
          </w:p>
          <w:p>
            <w:pPr>
              <w:pStyle w:val="null3"/>
            </w:pPr>
            <w:r>
              <w:rPr>
                <w:rFonts w:ascii="仿宋_GB2312" w:hAnsi="仿宋_GB2312" w:cs="仿宋_GB2312" w:eastAsia="仿宋_GB2312"/>
              </w:rPr>
              <w:t>（三）前期方案报备要求</w:t>
            </w:r>
          </w:p>
          <w:p>
            <w:pPr>
              <w:pStyle w:val="null3"/>
            </w:pPr>
            <w:r>
              <w:rPr>
                <w:rFonts w:ascii="仿宋_GB2312" w:hAnsi="仿宋_GB2312" w:cs="仿宋_GB2312" w:eastAsia="仿宋_GB2312"/>
              </w:rPr>
              <w:t>作业开工前3个工作日内，供应商须向采购人正式提交《项目实施方案》《安全作业责任协议》《应急预案》等全套资料，明确项目管理架构、岗位人员资质及联系方式、作业队伍配置、器械物资清单、详细实施进度计划、技术保障措施、质量管控措施、安全保障措施等内容，经采购人审核通过后方可开工。</w:t>
            </w:r>
          </w:p>
          <w:p>
            <w:pPr>
              <w:pStyle w:val="null3"/>
            </w:pPr>
            <w:r>
              <w:rPr>
                <w:rFonts w:ascii="仿宋_GB2312" w:hAnsi="仿宋_GB2312" w:cs="仿宋_GB2312" w:eastAsia="仿宋_GB2312"/>
              </w:rPr>
              <w:t>（四）现场作业管控要求</w:t>
            </w:r>
          </w:p>
          <w:p>
            <w:pPr>
              <w:pStyle w:val="null3"/>
            </w:pPr>
            <w:r>
              <w:rPr>
                <w:rFonts w:ascii="仿宋_GB2312" w:hAnsi="仿宋_GB2312" w:cs="仿宋_GB2312" w:eastAsia="仿宋_GB2312"/>
              </w:rPr>
              <w:t>供应商须严格按照本采购需求、国家技术标准、审定后的实施方案开展作业，开工前配齐所有器械、药剂、防护物资，全程规范作业流程，严格执行药剂配比、作业间距、作业高度、喷洒均匀度等技术规范，做好作业现场安全防护，杜绝安全事故、药害事故。</w:t>
            </w:r>
          </w:p>
          <w:p>
            <w:pPr>
              <w:pStyle w:val="null3"/>
            </w:pPr>
            <w:r>
              <w:rPr>
                <w:rFonts w:ascii="仿宋_GB2312" w:hAnsi="仿宋_GB2312" w:cs="仿宋_GB2312" w:eastAsia="仿宋_GB2312"/>
              </w:rPr>
              <w:t>（五）验收配合要求</w:t>
            </w:r>
          </w:p>
          <w:p>
            <w:pPr>
              <w:pStyle w:val="null3"/>
            </w:pPr>
            <w:r>
              <w:rPr>
                <w:rFonts w:ascii="仿宋_GB2312" w:hAnsi="仿宋_GB2312" w:cs="仿宋_GB2312" w:eastAsia="仿宋_GB2312"/>
              </w:rPr>
              <w:t>供应商须全程积极配合采购人开展日常督导、中期检查、期末验收、效果评价、竣工验收等工作，及时整改采购人提出的各类问题，无条件配合各项核查、评审工作。</w:t>
            </w:r>
          </w:p>
          <w:p>
            <w:pPr>
              <w:pStyle w:val="null3"/>
            </w:pPr>
            <w:r>
              <w:rPr>
                <w:rFonts w:ascii="仿宋_GB2312" w:hAnsi="仿宋_GB2312" w:cs="仿宋_GB2312" w:eastAsia="仿宋_GB2312"/>
              </w:rPr>
              <w:t>（六）成果资料提交要求</w:t>
            </w:r>
          </w:p>
          <w:p>
            <w:pPr>
              <w:pStyle w:val="null3"/>
            </w:pPr>
            <w:r>
              <w:rPr>
                <w:rFonts w:ascii="仿宋_GB2312" w:hAnsi="仿宋_GB2312" w:cs="仿宋_GB2312" w:eastAsia="仿宋_GB2312"/>
              </w:rPr>
              <w:t>全部作业完成后5个工作日内，供应商须整理提交全套完整的过程性资料及成果资料，包含但不限于：作业地块台账、每日作业记录、药剂出入库及使用记录、设备运行记录、现场作业影像资料、人员签到记录、病虫害防治效果分析报告、项目总结报告等，所有资料真实、完整、规范、可追溯。</w:t>
            </w:r>
          </w:p>
          <w:p>
            <w:pPr>
              <w:pStyle w:val="null3"/>
            </w:pPr>
            <w:r>
              <w:rPr>
                <w:rFonts w:ascii="仿宋_GB2312" w:hAnsi="仿宋_GB2312" w:cs="仿宋_GB2312" w:eastAsia="仿宋_GB2312"/>
              </w:rPr>
              <w:t>（七）应急处置要求</w:t>
            </w:r>
          </w:p>
          <w:p>
            <w:pPr>
              <w:pStyle w:val="null3"/>
            </w:pPr>
            <w:r>
              <w:rPr>
                <w:rFonts w:ascii="仿宋_GB2312" w:hAnsi="仿宋_GB2312" w:cs="仿宋_GB2312" w:eastAsia="仿宋_GB2312"/>
              </w:rPr>
              <w:t>供应商须针对药剂泄漏、设备故障、人员作业事故、极端天气、防治效果不达标、作物药害、病虫害反弹等各类突发情况，制定完善、可落地的专项应急预案，明确处置流程、责任人员、整改措施及补救方案，并向采购人出具书面应急承诺，确保突发问题第一时间妥善处置，保障项目质量与安全。</w:t>
            </w:r>
          </w:p>
          <w:p>
            <w:pPr>
              <w:pStyle w:val="null3"/>
            </w:pPr>
            <w:r>
              <w:rPr>
                <w:rFonts w:ascii="仿宋_GB2312" w:hAnsi="仿宋_GB2312" w:cs="仿宋_GB2312" w:eastAsia="仿宋_GB2312"/>
              </w:rPr>
              <w:t>五、付款方式</w:t>
            </w:r>
          </w:p>
          <w:p>
            <w:pPr>
              <w:pStyle w:val="null3"/>
            </w:pPr>
            <w:r>
              <w:rPr>
                <w:rFonts w:ascii="仿宋_GB2312" w:hAnsi="仿宋_GB2312" w:cs="仿宋_GB2312" w:eastAsia="仿宋_GB2312"/>
              </w:rPr>
              <w:t>本项目分两期支付，所有付款均不计利息，付款节点及比例如下：</w:t>
            </w:r>
          </w:p>
          <w:p>
            <w:pPr>
              <w:pStyle w:val="null3"/>
            </w:pPr>
            <w:r>
              <w:rPr>
                <w:rFonts w:ascii="仿宋_GB2312" w:hAnsi="仿宋_GB2312" w:cs="仿宋_GB2312" w:eastAsia="仿宋_GB2312"/>
              </w:rPr>
              <w:t>1.预付款：合同签订、供应商提交完整开工资料及履约资料，达到付款条件后15个工作日内，支付合同总金额的40%；</w:t>
            </w:r>
          </w:p>
          <w:p>
            <w:pPr>
              <w:pStyle w:val="null3"/>
            </w:pPr>
            <w:r>
              <w:rPr>
                <w:rFonts w:ascii="仿宋_GB2312" w:hAnsi="仿宋_GB2312" w:cs="仿宋_GB2312" w:eastAsia="仿宋_GB2312"/>
              </w:rPr>
              <w:t>2.尾款：项目全部作业完成、资料提交齐全，经采购人组织竣工验收合格，无质量问题、无争议纠纷，达到付款条件后15个工作日内，支付合同总金额的60%；</w:t>
            </w:r>
          </w:p>
          <w:p>
            <w:pPr>
              <w:pStyle w:val="null3"/>
            </w:pPr>
            <w:r>
              <w:rPr>
                <w:rFonts w:ascii="仿宋_GB2312" w:hAnsi="仿宋_GB2312" w:cs="仿宋_GB2312" w:eastAsia="仿宋_GB2312"/>
              </w:rPr>
              <w:t>3.采购人书面要求新增的服务内容，供应商须无偿完成，不产生额外费用；若项目存在质量整改问题，尾款顺延至整改验收合格后支付。</w:t>
            </w:r>
          </w:p>
          <w:p>
            <w:pPr>
              <w:pStyle w:val="null3"/>
            </w:pPr>
            <w:r>
              <w:rPr>
                <w:rFonts w:ascii="仿宋_GB2312" w:hAnsi="仿宋_GB2312" w:cs="仿宋_GB2312" w:eastAsia="仿宋_GB2312"/>
              </w:rPr>
              <w:t>六、验收标准、流程及追责机制</w:t>
            </w:r>
          </w:p>
          <w:p>
            <w:pPr>
              <w:pStyle w:val="null3"/>
            </w:pPr>
            <w:r>
              <w:rPr>
                <w:rFonts w:ascii="仿宋_GB2312" w:hAnsi="仿宋_GB2312" w:cs="仿宋_GB2312" w:eastAsia="仿宋_GB2312"/>
              </w:rPr>
              <w:t>（一）验收依据</w:t>
            </w:r>
          </w:p>
          <w:p>
            <w:pPr>
              <w:pStyle w:val="null3"/>
            </w:pPr>
            <w:r>
              <w:rPr>
                <w:rFonts w:ascii="仿宋_GB2312" w:hAnsi="仿宋_GB2312" w:cs="仿宋_GB2312" w:eastAsia="仿宋_GB2312"/>
              </w:rPr>
              <w:t>以本采购需求、磋商文件、供应商响应文件、正式合同条款、《农业社会化服务农作物病虫害防治服务质量要求》（GB/T32980-2016）及国家、行业相关标准为唯一验收依据。</w:t>
            </w:r>
          </w:p>
          <w:p>
            <w:pPr>
              <w:pStyle w:val="null3"/>
            </w:pPr>
            <w:r>
              <w:rPr>
                <w:rFonts w:ascii="仿宋_GB2312" w:hAnsi="仿宋_GB2312" w:cs="仿宋_GB2312" w:eastAsia="仿宋_GB2312"/>
              </w:rPr>
              <w:t>（二）验收核心标准</w:t>
            </w:r>
          </w:p>
          <w:p>
            <w:pPr>
              <w:pStyle w:val="null3"/>
            </w:pPr>
            <w:r>
              <w:rPr>
                <w:rFonts w:ascii="仿宋_GB2312" w:hAnsi="仿宋_GB2312" w:cs="仿宋_GB2312" w:eastAsia="仿宋_GB2312"/>
              </w:rPr>
              <w:t>1.所有使用药剂、农资资质齐全、合规有效，适配玉米作物，配比用量完全符合登记证及本文件要求；</w:t>
            </w:r>
          </w:p>
          <w:p>
            <w:pPr>
              <w:pStyle w:val="null3"/>
            </w:pPr>
            <w:r>
              <w:rPr>
                <w:rFonts w:ascii="仿宋_GB2312" w:hAnsi="仿宋_GB2312" w:cs="仿宋_GB2312" w:eastAsia="仿宋_GB2312"/>
              </w:rPr>
              <w:t>2.作业流程规范，器械设备到位，作业面积足额达标，无大面积漏防、未防、错防地块；</w:t>
            </w:r>
          </w:p>
          <w:p>
            <w:pPr>
              <w:pStyle w:val="null3"/>
            </w:pPr>
            <w:r>
              <w:rPr>
                <w:rFonts w:ascii="仿宋_GB2312" w:hAnsi="仿宋_GB2312" w:cs="仿宋_GB2312" w:eastAsia="仿宋_GB2312"/>
              </w:rPr>
              <w:t>3.防治效果达标：病虫害防治率≥90%，病虫害危害损失率≤5%，作物无药害、无大面积早衰倒伏、病虫害得到有效控制；</w:t>
            </w:r>
          </w:p>
          <w:p>
            <w:pPr>
              <w:pStyle w:val="null3"/>
            </w:pPr>
            <w:r>
              <w:rPr>
                <w:rFonts w:ascii="仿宋_GB2312" w:hAnsi="仿宋_GB2312" w:cs="仿宋_GB2312" w:eastAsia="仿宋_GB2312"/>
              </w:rPr>
              <w:t>4.项目全过程资料完整、真实、规范，符合归档要求。</w:t>
            </w:r>
          </w:p>
          <w:p>
            <w:pPr>
              <w:pStyle w:val="null3"/>
            </w:pPr>
            <w:r>
              <w:rPr>
                <w:rFonts w:ascii="仿宋_GB2312" w:hAnsi="仿宋_GB2312" w:cs="仿宋_GB2312" w:eastAsia="仿宋_GB2312"/>
              </w:rPr>
              <w:t>（三）验收流程</w:t>
            </w:r>
          </w:p>
          <w:p>
            <w:pPr>
              <w:pStyle w:val="null3"/>
            </w:pPr>
            <w:r>
              <w:rPr>
                <w:rFonts w:ascii="仿宋_GB2312" w:hAnsi="仿宋_GB2312" w:cs="仿宋_GB2312" w:eastAsia="仿宋_GB2312"/>
              </w:rPr>
              <w:t>1.供应商完成全部作业及资料整理后，向采购人提交正式验收申请；</w:t>
            </w:r>
          </w:p>
          <w:p>
            <w:pPr>
              <w:pStyle w:val="null3"/>
            </w:pPr>
            <w:r>
              <w:rPr>
                <w:rFonts w:ascii="仿宋_GB2312" w:hAnsi="仿宋_GB2312" w:cs="仿宋_GB2312" w:eastAsia="仿宋_GB2312"/>
              </w:rPr>
              <w:t>2.采购人组织相关业务部门、核查人员开展现场抽查、全域核验、效果评估；</w:t>
            </w:r>
          </w:p>
          <w:p>
            <w:pPr>
              <w:pStyle w:val="null3"/>
            </w:pPr>
            <w:r>
              <w:rPr>
                <w:rFonts w:ascii="仿宋_GB2312" w:hAnsi="仿宋_GB2312" w:cs="仿宋_GB2312" w:eastAsia="仿宋_GB2312"/>
              </w:rPr>
              <w:t>3.结合现场作业情况、台账资料、防治效果综合判定验收结果，出具验收报告。</w:t>
            </w:r>
          </w:p>
          <w:p>
            <w:pPr>
              <w:pStyle w:val="null3"/>
            </w:pPr>
            <w:r>
              <w:rPr>
                <w:rFonts w:ascii="仿宋_GB2312" w:hAnsi="仿宋_GB2312" w:cs="仿宋_GB2312" w:eastAsia="仿宋_GB2312"/>
              </w:rPr>
              <w:t>（四）整改及追责机制</w:t>
            </w:r>
          </w:p>
          <w:p>
            <w:pPr>
              <w:pStyle w:val="null3"/>
            </w:pPr>
            <w:r>
              <w:rPr>
                <w:rFonts w:ascii="仿宋_GB2312" w:hAnsi="仿宋_GB2312" w:cs="仿宋_GB2312" w:eastAsia="仿宋_GB2312"/>
              </w:rPr>
              <w:t>1.验收中发现漏防、未防、防治不达标、效果不合格（防治率＜90%、危害损失率＞5%）、资料缺失等问题的，供应商须在采购人规定时限内无偿完成人工地面补防、整改完善，直至完全达标；</w:t>
            </w:r>
          </w:p>
          <w:p>
            <w:pPr>
              <w:pStyle w:val="null3"/>
            </w:pPr>
            <w:r>
              <w:rPr>
                <w:rFonts w:ascii="仿宋_GB2312" w:hAnsi="仿宋_GB2312" w:cs="仿宋_GB2312" w:eastAsia="仿宋_GB2312"/>
              </w:rPr>
              <w:t>2.因供应商作业不到位、药剂不合格、整改不及时等自身原因，造成玉米减产、病虫害蔓延、作物损伤等损失的，由供应商自行承担全部经济赔偿责任及相关法律责任；</w:t>
            </w:r>
          </w:p>
          <w:p>
            <w:pPr>
              <w:pStyle w:val="null3"/>
            </w:pPr>
            <w:r>
              <w:rPr>
                <w:rFonts w:ascii="仿宋_GB2312" w:hAnsi="仿宋_GB2312" w:cs="仿宋_GB2312" w:eastAsia="仿宋_GB2312"/>
              </w:rPr>
              <w:t>3.逾期未整改、整改后仍不达标的，采购人有权不予验收、不予支付尾款，同时保留追究违约责任的权利。</w:t>
            </w:r>
          </w:p>
          <w:p>
            <w:pPr>
              <w:pStyle w:val="null3"/>
            </w:pPr>
            <w:r>
              <w:rPr>
                <w:rFonts w:ascii="仿宋_GB2312" w:hAnsi="仿宋_GB2312" w:cs="仿宋_GB2312" w:eastAsia="仿宋_GB2312"/>
              </w:rPr>
              <w:t>七、其它</w:t>
            </w:r>
          </w:p>
          <w:p>
            <w:pPr>
              <w:pStyle w:val="null3"/>
            </w:pPr>
            <w:r>
              <w:rPr>
                <w:rFonts w:ascii="仿宋_GB2312" w:hAnsi="仿宋_GB2312" w:cs="仿宋_GB2312" w:eastAsia="仿宋_GB2312"/>
              </w:rPr>
              <w:t>（一）安全责任条款</w:t>
            </w:r>
          </w:p>
          <w:p>
            <w:pPr>
              <w:pStyle w:val="null3"/>
            </w:pPr>
            <w:r>
              <w:rPr>
                <w:rFonts w:ascii="仿宋_GB2312" w:hAnsi="仿宋_GB2312" w:cs="仿宋_GB2312" w:eastAsia="仿宋_GB2312"/>
              </w:rPr>
              <w:t>项目实施全过程的人员安全、设备安全、用药安全、场地安全、第三方人身及财产安全风险，均由供应商全权负责，发生一切安全事故、纠纷、赔偿均与采购人无关。</w:t>
            </w:r>
          </w:p>
          <w:p>
            <w:pPr>
              <w:pStyle w:val="null3"/>
            </w:pPr>
            <w:r>
              <w:rPr>
                <w:rFonts w:ascii="仿宋_GB2312" w:hAnsi="仿宋_GB2312" w:cs="仿宋_GB2312" w:eastAsia="仿宋_GB2312"/>
              </w:rPr>
              <w:t>（二）质保及效果兜底条款</w:t>
            </w:r>
          </w:p>
          <w:p>
            <w:pPr>
              <w:pStyle w:val="null3"/>
            </w:pPr>
            <w:r>
              <w:rPr>
                <w:rFonts w:ascii="仿宋_GB2312" w:hAnsi="仿宋_GB2312" w:cs="仿宋_GB2312" w:eastAsia="仿宋_GB2312"/>
              </w:rPr>
              <w:t>作业完成后至玉米收获前，因喷防作业质量、药剂质量问题导致病虫害反弹、作物早衰减产的，供应商须无偿补救处置，并承担相应损失赔偿。</w:t>
            </w:r>
          </w:p>
          <w:p>
            <w:pPr>
              <w:pStyle w:val="null3"/>
            </w:pPr>
            <w:r>
              <w:rPr>
                <w:rFonts w:ascii="仿宋_GB2312" w:hAnsi="仿宋_GB2312" w:cs="仿宋_GB2312" w:eastAsia="仿宋_GB2312"/>
              </w:rPr>
              <w:t>（三）合规承诺条款</w:t>
            </w:r>
          </w:p>
          <w:p>
            <w:pPr>
              <w:pStyle w:val="null3"/>
            </w:pPr>
            <w:r>
              <w:rPr>
                <w:rFonts w:ascii="仿宋_GB2312" w:hAnsi="仿宋_GB2312" w:cs="仿宋_GB2312" w:eastAsia="仿宋_GB2312"/>
              </w:rPr>
              <w:t>供应商须承诺严格遵守农时要求、农药使用规范、环保作业要求，杜绝违规作业、污染环境、损害农作物等行为，一经发现，采购人有权终止合同、追究责任。</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见本章3.2.2服务要求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见本章3.2.2服务要求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见本章3.2.2服务要求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自合同签订之日起15个日历天内完成全部地块喷防作业、资料汇总及初验准备工作，严格契合玉米穗期病虫害防治关键窗口期，不得延误农时。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陕西省渭南市白水县采购人指定各乡镇、村组玉米种植地块（具体作业范围由采购人开工前现场交底）</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1.所有使用药剂、农资资质齐全、合规有效，适配玉米作物，配比用量完全符合登记证及本文件要求； 2.作业流程规范，器械设备到位，作业面积足额达标，无大面积漏防、未防、错防地块； 3.防治效果达标：病虫害防治率≥90%，病虫害危害损失率≤5%，作物无药害、无大面积早衰倒伏、病虫害得到有效控制； 4.项目全过程资料完整、真实、规范，符合归档要求。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预付款，合同签订、供应商提交完整开工资料及履约资料，达到付款条件起15个工作日内，支付合同总金额的40.0%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进度款，项目全部作业完成、资料提交齐全，经采购人组织竣工验收合格，无质量问题、无争议纠纷，达到付款条件起15个工作日内，支付合同总金额的60.0%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1.1若防治效果经最终验收未达到90%（因不可抗力或采购人原因导致的除外），成交供应商应按采购人要求进行补防，补防后仍不合格的，采购人有权扣减合同总金额20%的款项作为违约金，并追偿实际损失。1.2若成交供应商使用的药剂“三证”不全、不符合国家环保安全要求、或使用过期、劣质、假冒伪劣产品的，采购人有权立即终止合同，并由成交供应商承担由此产生的一切法律后果和经济损失。2.解决争议的方法：2.1合同履行过程中发生争议，双方应首先通过友好协商解决。2.2协商不成的，任何一方均有权向采购人所在地有管辖权的人民法院提起诉讼。2.3在争议解决期间，除争议事项外，双方应继续履行合同其他无争议条款。3.其它条款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（一）磋商保证金缴纳规范： 1.缴纳主体要求：磋商保证金必须由供应商本单位对公账户转出缴纳，个人账户、非本供应商账户缴纳的保证金一律无效，直接视为供应商自动放弃磋商资格，响应文件不予受理。 2.缴纳时限要求：磋商保证金（含保函）须在响应文件递交截止时间前完成全部提交手续，逾期提交、金额不足、提交形式不符的，直接判定响应无效。 3.保函提交细则：采用保函形式缴纳保证金的供应商，须在响应文件递交截止时间前，将合规保函完整上传至政府采购电子化交易平台；同时将清晰、完整、无遮挡的保函PDF扫描件发送至指定邮箱：2518945557@qq.com，邮件命名严格执行格式：项目名称+项目编号。供应商须在响应文件中附保函有效复印件，以备核查。 4.保函合规要求：保函须由具备合法投标保函开具资质的金融机构/单位出具，保函条款合法有效、权责清晰。若供应商在磋商及履约阶段发生违约行为，保函开具单位须依法承担相应连带责任。 5.否决条款：磋商保证金的缴纳金额、缴纳主体、提交时限、提交形式任意一项不满足本磋商文件要求的，供应商响应直接无效，不进入后续评审环节。 （二）合同文本确认要求： 供应商参与本次磋商，即表示已完整阅读、充分理解、完全认可本项目磋商文件第八章《拟签订采购合同文本》的全部条款内容，自愿接受合同所有约束，无任何异议，成交后不得以此为由拒绝签订合同、变更合同条款或拒不履约。 （三）成交文件递交规范： 1.成交供应商签订正式合同前，须按要求提交全套纸质及电子响应文件，具体份数：纸质文件正本壹份、副本贰份，电子版文件叁份（存储于U盘，U盘表面清晰标注供应商单位全称）。 2.文件编制要求：所有纸质、电子文件须完整编制目录、标注连续页码，内容、版本、数据须与政府采购电子化交易平台线上提交的响应文件完全一致，不得存在删减、修改、替换内容等情形。 3.文件装订要求：纸质文件正本、副本须分别独立胶装装订，采用不可拆卸装订方式，严禁活页装订、订书钉装订，建议采用双面打印，装订牢固、页面整洁、页码清晰，便于归档留存。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参与的供应商提供了企业声明函原件，本项目采购标的对应的中小企业划分标准所属行业为农、林、牧、渔业。营业收入20000万元以下的为中小微型企业。其中，营业收入500万元及以上的为中型企业，营业收入50万元及以上的为小型企业，营业收入50万元以下的为微型企业。特别说明：从业⼈员、营业收⼊、资产总额填报上⼀年度数据，上⼀年度数据是指提供2025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授权代表身份证、授权代表在本单位近3个月内任意一个月缴纳的养老保险证明。响应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供应商提供有效存续的企业营业执照（2025年度报告）；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组认为供应商报价明显低于其他通过符合性审查供应商的报价，有可能影响产品质量或者不能诚信履约的，磋商⼩组应当要求其在合理的时间内通过项⽬电⼦化交易系统进⾏书⾯说明，必要时提交相关证明材料。供应商提交的书⾯说明和相关证明材料，应当加盖供应商公章，在磋商⼩组要求的时间内通过项⽬电⼦化交易系统进⾏提交，否则提交的相关材料⽆效，视为不能证明其响应报价合理性。供应商不能证明其响应报价合理性的，磋商⼩组应当将其响应⽂件作为⽆效处理。具体内容及要求以“第六章磋商办法6.4.2评分标准”为准。</w:t>
            </w:r>
          </w:p>
        </w:tc>
        <w:tc>
          <w:tcPr>
            <w:tcW w:type="dxa" w:w="1661"/>
          </w:tcPr>
          <w:p>
            <w:pPr>
              <w:pStyle w:val="null3"/>
            </w:pPr>
            <w:r>
              <w:rPr>
                <w:rFonts w:ascii="仿宋_GB2312" w:hAnsi="仿宋_GB2312" w:cs="仿宋_GB2312" w:eastAsia="仿宋_GB2312"/>
              </w:rPr>
              <w:t>首轮报价明细表.docx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供应商名称是否与营业执照⼀致</w:t>
            </w:r>
          </w:p>
        </w:tc>
        <w:tc>
          <w:tcPr>
            <w:tcW w:type="dxa" w:w="1661"/>
          </w:tcPr>
          <w:p>
            <w:pPr>
              <w:pStyle w:val="null3"/>
            </w:pPr>
            <w:r>
              <w:rPr>
                <w:rFonts w:ascii="仿宋_GB2312" w:hAnsi="仿宋_GB2312" w:cs="仿宋_GB2312" w:eastAsia="仿宋_GB2312"/>
              </w:rPr>
              <w:t>响应文件封面 首轮报价明细表.docx 中小企业声明函 保证金及信用信息.docx 标的清单 报价表 服务内容及服务邀请应答表.docx 商务应答表.docx 响应函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磋商⽂件签字盖章</w:t>
            </w:r>
          </w:p>
        </w:tc>
        <w:tc>
          <w:tcPr>
            <w:tcW w:type="dxa" w:w="3322"/>
          </w:tcPr>
          <w:p>
            <w:pPr>
              <w:pStyle w:val="null3"/>
            </w:pPr>
            <w:r>
              <w:rPr>
                <w:rFonts w:ascii="仿宋_GB2312" w:hAnsi="仿宋_GB2312" w:cs="仿宋_GB2312" w:eastAsia="仿宋_GB2312"/>
              </w:rPr>
              <w:t>响应⽂件签字盖章满⾜磋商⽂件的要求</w:t>
            </w:r>
          </w:p>
        </w:tc>
        <w:tc>
          <w:tcPr>
            <w:tcW w:type="dxa" w:w="1661"/>
          </w:tcPr>
          <w:p>
            <w:pPr>
              <w:pStyle w:val="null3"/>
            </w:pPr>
            <w:r>
              <w:rPr>
                <w:rFonts w:ascii="仿宋_GB2312" w:hAnsi="仿宋_GB2312" w:cs="仿宋_GB2312" w:eastAsia="仿宋_GB2312"/>
              </w:rPr>
              <w:t>中小企业声明函 报价表 商务应答表.docx 承诺函.docx 资格证明文件.docx 响应文件封面 首轮报价明细表.docx 残疾人福利性单位声明函 保证金及信用信息.docx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响应⽂件有效期满⾜磋商⽂件的要求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按磋商文件要求提交了磋商保证金</w:t>
            </w:r>
          </w:p>
        </w:tc>
        <w:tc>
          <w:tcPr>
            <w:tcW w:type="dxa" w:w="1661"/>
          </w:tcPr>
          <w:p>
            <w:pPr>
              <w:pStyle w:val="null3"/>
            </w:pPr>
            <w:r>
              <w:rPr>
                <w:rFonts w:ascii="仿宋_GB2312" w:hAnsi="仿宋_GB2312" w:cs="仿宋_GB2312" w:eastAsia="仿宋_GB2312"/>
              </w:rPr>
              <w:t>保证金及信用信息.docx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完全响应第三章“磋商项目技术、服务、商务及其他要求求”，没有负偏离。</w:t>
            </w:r>
          </w:p>
        </w:tc>
        <w:tc>
          <w:tcPr>
            <w:tcW w:type="dxa" w:w="1661"/>
          </w:tcPr>
          <w:p>
            <w:pPr>
              <w:pStyle w:val="null3"/>
            </w:pPr>
            <w:r>
              <w:rPr>
                <w:rFonts w:ascii="仿宋_GB2312" w:hAnsi="仿宋_GB2312" w:cs="仿宋_GB2312" w:eastAsia="仿宋_GB2312"/>
              </w:rPr>
              <w:t>服务内容及服务邀请应答表.docx 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服务内容及服务邀请应答表.docx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评审内容包含：类似项目业绩证明2.评审标准类似项目业绩（9分）：2023年1月1日至投标截止之日，每提供1项类似项目业绩得3分。需提供合同关键页（含首页、内容页、签字盖章页）。本项满分9分，超过3项按9分计。</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1.企业业绩.docx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评审内容方案需包含：①项目组织架构与职责②关键人员资质与经验③人员稳定性承诺，共3个核心模块。2.评审标准①项目组织架构与职责（4分）：架构图清晰，关键岗位（项目负责人、技术负责人、作业队长、无人机飞手、安全员等）职责分工明确，得4分；架构职责基本清晰，得2分；不清晰，得0分。②关键人员资质与经验（6分）：提供项目负责人、技术负责人的相关经验证明（如履历表）、植保或农学相关专业职称/资格证书等证明材料，每人得2分；提供无人机飞手的相关经验证明（如履历表）、岗位证书等证明材料，得2分。证明材料不全或不符合，相应扣分。③人员稳定性承诺（2分）：提供未经采购人同意不随意更换项目负责人及技术负责人的承诺函，得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2.项目团队配置.docx</w:t>
            </w:r>
          </w:p>
        </w:tc>
      </w:tr>
      <w:tr>
        <w:tc>
          <w:tcPr>
            <w:tcW w:type="dxa" w:w="831"/>
            <w:vMerge/>
          </w:tcPr>
          <w:p/>
        </w:tc>
        <w:tc>
          <w:tcPr>
            <w:tcW w:type="dxa" w:w="1661"/>
          </w:tcPr>
          <w:p>
            <w:pPr>
              <w:pStyle w:val="null3"/>
            </w:pPr>
            <w:r>
              <w:rPr>
                <w:rFonts w:ascii="仿宋_GB2312" w:hAnsi="仿宋_GB2312" w:cs="仿宋_GB2312" w:eastAsia="仿宋_GB2312"/>
              </w:rPr>
              <w:t>药剂质量承诺与证明</w:t>
            </w:r>
          </w:p>
        </w:tc>
        <w:tc>
          <w:tcPr>
            <w:tcW w:type="dxa" w:w="2492"/>
          </w:tcPr>
          <w:p>
            <w:pPr>
              <w:pStyle w:val="null3"/>
            </w:pPr>
            <w:r>
              <w:rPr>
                <w:rFonts w:ascii="仿宋_GB2312" w:hAnsi="仿宋_GB2312" w:cs="仿宋_GB2312" w:eastAsia="仿宋_GB2312"/>
              </w:rPr>
              <w:t>1.评审内容：药剂质量承诺与证明2.评审标准提供承诺函，内容包括：a.承诺所用农药“三证”（农药登记证、农药生产批准证、企业标准）齐全，符合国家标准及采购需求；b.明确承诺如因药剂质量问题导致药害或防效不达标，承担全部责任；c.明确承诺在作业前或作业中配合采购人进行药剂抽检；d.明确承诺提供所用药剂批次的相关质量证明文件。以上承诺内容齐全得8分，每缺少1项承诺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3.药剂质量承诺与证明.docx</w:t>
            </w:r>
          </w:p>
        </w:tc>
      </w:tr>
      <w:tr>
        <w:tc>
          <w:tcPr>
            <w:tcW w:type="dxa" w:w="831"/>
            <w:vMerge/>
          </w:tcPr>
          <w:p/>
        </w:tc>
        <w:tc>
          <w:tcPr>
            <w:tcW w:type="dxa" w:w="1661"/>
          </w:tcPr>
          <w:p>
            <w:pPr>
              <w:pStyle w:val="null3"/>
            </w:pPr>
            <w:r>
              <w:rPr>
                <w:rFonts w:ascii="仿宋_GB2312" w:hAnsi="仿宋_GB2312" w:cs="仿宋_GB2312" w:eastAsia="仿宋_GB2312"/>
              </w:rPr>
              <w:t>服务承诺与合理化建议</w:t>
            </w:r>
          </w:p>
        </w:tc>
        <w:tc>
          <w:tcPr>
            <w:tcW w:type="dxa" w:w="2492"/>
          </w:tcPr>
          <w:p>
            <w:pPr>
              <w:pStyle w:val="null3"/>
            </w:pPr>
            <w:r>
              <w:rPr>
                <w:rFonts w:ascii="仿宋_GB2312" w:hAnsi="仿宋_GB2312" w:cs="仿宋_GB2312" w:eastAsia="仿宋_GB2312"/>
              </w:rPr>
              <w:t>1.评审内容包含：①服务承诺②合理化建议，共2个核心模块。2.评审标准①服务承诺（8分）：承诺内容需包含以下要素：a.承诺在服务关键时期派驻技术人员进行现场指导；b.承诺无条件接受采购人及相关部门的全过程监督；c.承诺按时提供完整的作业过程性资料及防效报告；d.承诺对未防、漏防或防效不达标的地块，按采购人要求立即进行补防，并承担相关费用。承诺内容齐全得8分，每缺少1项承诺扣2分，扣完为止。②合理化建议（4分）：针对本项目实施提出的优化建议，如提高防效的技术措施、降低作业成本的方法、提升农户满意度的举措、与当地农技部门协作机制等。建议内容：a.科学合理、切实可行、具有针对性和创新性，得4分；b.具有一定可行性，但针对性或创新性一般，得2分；c.建议不可行或与本项目无关，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4.服务承诺与合理化建议.docx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方案需包含：①目标理解与需求分析②任务分解与进度计划③技术路径与方法（含药剂配比、作业参数、防效保障措施），共3个核心模块。2.评审标准①基础分值：每个核心模块内容无缺陷得4分，3个模块满分12分。②缺陷扣分：每个模块每存在1处缺陷扣0.8分；单个模块缺陷扣分最多扣完该模块分值4分，整体扣完12分为止。③缺陷定义：符合以下任意一种情形即判定为缺陷：a.内容不完整；b.描述过于简单；c.非专门针对本项目；d.存在逻辑漏洞；e.不利于目标实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5.项目实施方案.docx</w:t>
            </w:r>
          </w:p>
        </w:tc>
      </w:tr>
      <w:tr>
        <w:tc>
          <w:tcPr>
            <w:tcW w:type="dxa" w:w="831"/>
            <w:vMerge/>
          </w:tcPr>
          <w:p/>
        </w:tc>
        <w:tc>
          <w:tcPr>
            <w:tcW w:type="dxa" w:w="1661"/>
          </w:tcPr>
          <w:p>
            <w:pPr>
              <w:pStyle w:val="null3"/>
            </w:pPr>
            <w:r>
              <w:rPr>
                <w:rFonts w:ascii="仿宋_GB2312" w:hAnsi="仿宋_GB2312" w:cs="仿宋_GB2312" w:eastAsia="仿宋_GB2312"/>
              </w:rPr>
              <w:t>作业、供货与进度保障方案</w:t>
            </w:r>
          </w:p>
        </w:tc>
        <w:tc>
          <w:tcPr>
            <w:tcW w:type="dxa" w:w="2492"/>
          </w:tcPr>
          <w:p>
            <w:pPr>
              <w:pStyle w:val="null3"/>
            </w:pPr>
            <w:r>
              <w:rPr>
                <w:rFonts w:ascii="仿宋_GB2312" w:hAnsi="仿宋_GB2312" w:cs="仿宋_GB2312" w:eastAsia="仿宋_GB2312"/>
              </w:rPr>
              <w:t>1.评审内容方案需包含：①作业设备与人员保障计划②药剂采购与配送方案③应急保障措施（如恶劣天气、设备故障应对），共3个核心模块。2.评审标准①基础分值：每个核心模块内容无缺陷得3分，3个模块满分9分。②缺陷扣分：每个模块每存在1处缺陷扣0.6分，单个模块缺陷扣分最多扣完该模块分值3分，整体扣完9分为止。③缺陷定义：符合以下任意一种情形即判定为缺陷：a.内容不完整；b.描述过于简单；c.非专门针对本项目；d.存在逻辑漏洞；e.不利于目标实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6.作业、供货与进度保障方案.docx</w:t>
            </w:r>
          </w:p>
        </w:tc>
      </w:tr>
      <w:tr>
        <w:tc>
          <w:tcPr>
            <w:tcW w:type="dxa" w:w="831"/>
            <w:vMerge/>
          </w:tcPr>
          <w:p/>
        </w:tc>
        <w:tc>
          <w:tcPr>
            <w:tcW w:type="dxa" w:w="1661"/>
          </w:tcPr>
          <w:p>
            <w:pPr>
              <w:pStyle w:val="null3"/>
            </w:pPr>
            <w:r>
              <w:rPr>
                <w:rFonts w:ascii="仿宋_GB2312" w:hAnsi="仿宋_GB2312" w:cs="仿宋_GB2312" w:eastAsia="仿宋_GB2312"/>
              </w:rPr>
              <w:t>全过程作业质量管控措施</w:t>
            </w:r>
          </w:p>
        </w:tc>
        <w:tc>
          <w:tcPr>
            <w:tcW w:type="dxa" w:w="2492"/>
          </w:tcPr>
          <w:p>
            <w:pPr>
              <w:pStyle w:val="null3"/>
            </w:pPr>
            <w:r>
              <w:rPr>
                <w:rFonts w:ascii="仿宋_GB2312" w:hAnsi="仿宋_GB2312" w:cs="仿宋_GB2312" w:eastAsia="仿宋_GB2312"/>
              </w:rPr>
              <w:t>1.评审内容：全过程作业质量管控措施。2.评审标准：从药剂采购、入库查验、作业过程监控、作业后效果自检的全链条质量监督措施，内容无缺陷得9分，每存在1处缺陷扣1.6分，最多扣完该模块分值9分。注：本项评审重点为过程监督机制的完整性和可操作性，避免与评审项3（质量承诺）、评审项5（采购与配送流程）内容重复。3.缺陷定义：符合以下任意一种情形即判定为缺陷：a.内容不完整；b.描述过于简单；c.非专门针对本项目；d.存在逻辑漏洞；e.不利于目标实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7.全过程作业质量管控措施.docx</w:t>
            </w:r>
          </w:p>
        </w:tc>
      </w:tr>
      <w:tr>
        <w:tc>
          <w:tcPr>
            <w:tcW w:type="dxa" w:w="831"/>
            <w:vMerge/>
          </w:tcPr>
          <w:p/>
        </w:tc>
        <w:tc>
          <w:tcPr>
            <w:tcW w:type="dxa" w:w="1661"/>
          </w:tcPr>
          <w:p>
            <w:pPr>
              <w:pStyle w:val="null3"/>
            </w:pPr>
            <w:r>
              <w:rPr>
                <w:rFonts w:ascii="仿宋_GB2312" w:hAnsi="仿宋_GB2312" w:cs="仿宋_GB2312" w:eastAsia="仿宋_GB2312"/>
              </w:rPr>
              <w:t>服务保障与应急响应</w:t>
            </w:r>
          </w:p>
        </w:tc>
        <w:tc>
          <w:tcPr>
            <w:tcW w:type="dxa" w:w="2492"/>
          </w:tcPr>
          <w:p>
            <w:pPr>
              <w:pStyle w:val="null3"/>
            </w:pPr>
            <w:r>
              <w:rPr>
                <w:rFonts w:ascii="仿宋_GB2312" w:hAnsi="仿宋_GB2312" w:cs="仿宋_GB2312" w:eastAsia="仿宋_GB2312"/>
              </w:rPr>
              <w:t>1.评审内容方案需包含：①技术服务与指导计划②问题响应机制（含防效不达标的补救措施）③突发事件应急预案（含安全事故、药害、恶劣天气等），共3个核心模块。2.评审标准①基础分值：每个核心模块内容无缺陷得3分，3个模块满分9分。②缺陷扣分：每个模块每存在1处缺陷扣0.6分，单个模块缺陷扣分最多扣完该模块分值3分，整体扣完9分为止。③缺陷定义：符合以下任意一种情形即判定为缺陷：a.内容不完整；b.缺少关键证明；c.描述模糊；d.套用其他项目内容；e.存在不可能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8.服务保障与应急响应.docx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首轮报价明细表.docx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中华人民共和国财政部2021年2月20日发布的“政府采购促进中小企业发展政策问答”，本合同包专门面向中小企业采购，不再执行价格评审优惠的扶持政策。价格分统一采用低价优先法计算，即满足磋商文件要求且最终磋商报价单价最低的为评审基准价，其价格分为满分20分。其他供应商的价格分统一按照下列公式计算：单价报价得分 = (评审基准价 / 供应商最终磋商单价报价) × 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首轮报价明细表.docx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详见附件：首轮报价明细表.docx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详见附件：1.企业业绩.docx</w:t>
      </w:r>
    </w:p>
    <w:p>
      <w:pPr>
        <w:pStyle w:val="null3"/>
        <w:ind w:firstLine="960"/>
      </w:pPr>
      <w:r>
        <w:rPr>
          <w:rFonts w:ascii="仿宋_GB2312" w:hAnsi="仿宋_GB2312" w:cs="仿宋_GB2312" w:eastAsia="仿宋_GB2312"/>
        </w:rPr>
        <w:t>详见附件：2.项目团队配置.docx</w:t>
      </w:r>
    </w:p>
    <w:p>
      <w:pPr>
        <w:pStyle w:val="null3"/>
        <w:ind w:firstLine="960"/>
      </w:pPr>
      <w:r>
        <w:rPr>
          <w:rFonts w:ascii="仿宋_GB2312" w:hAnsi="仿宋_GB2312" w:cs="仿宋_GB2312" w:eastAsia="仿宋_GB2312"/>
        </w:rPr>
        <w:t>详见附件：3.药剂质量承诺与证明.docx</w:t>
      </w:r>
    </w:p>
    <w:p>
      <w:pPr>
        <w:pStyle w:val="null3"/>
        <w:ind w:firstLine="960"/>
      </w:pPr>
      <w:r>
        <w:rPr>
          <w:rFonts w:ascii="仿宋_GB2312" w:hAnsi="仿宋_GB2312" w:cs="仿宋_GB2312" w:eastAsia="仿宋_GB2312"/>
        </w:rPr>
        <w:t>详见附件：4.服务承诺与合理化建议.docx</w:t>
      </w:r>
    </w:p>
    <w:p>
      <w:pPr>
        <w:pStyle w:val="null3"/>
        <w:ind w:firstLine="960"/>
      </w:pPr>
      <w:r>
        <w:rPr>
          <w:rFonts w:ascii="仿宋_GB2312" w:hAnsi="仿宋_GB2312" w:cs="仿宋_GB2312" w:eastAsia="仿宋_GB2312"/>
        </w:rPr>
        <w:t>详见附件：5.项目实施方案.docx</w:t>
      </w:r>
    </w:p>
    <w:p>
      <w:pPr>
        <w:pStyle w:val="null3"/>
        <w:ind w:firstLine="960"/>
      </w:pPr>
      <w:r>
        <w:rPr>
          <w:rFonts w:ascii="仿宋_GB2312" w:hAnsi="仿宋_GB2312" w:cs="仿宋_GB2312" w:eastAsia="仿宋_GB2312"/>
        </w:rPr>
        <w:t>详见附件：6.作业、供货与进度保障方案.docx</w:t>
      </w:r>
    </w:p>
    <w:p>
      <w:pPr>
        <w:pStyle w:val="null3"/>
        <w:ind w:firstLine="960"/>
      </w:pPr>
      <w:r>
        <w:rPr>
          <w:rFonts w:ascii="仿宋_GB2312" w:hAnsi="仿宋_GB2312" w:cs="仿宋_GB2312" w:eastAsia="仿宋_GB2312"/>
        </w:rPr>
        <w:t>详见附件：7.全过程作业质量管控措施.docx</w:t>
      </w:r>
    </w:p>
    <w:p>
      <w:pPr>
        <w:pStyle w:val="null3"/>
        <w:ind w:firstLine="960"/>
      </w:pPr>
      <w:r>
        <w:rPr>
          <w:rFonts w:ascii="仿宋_GB2312" w:hAnsi="仿宋_GB2312" w:cs="仿宋_GB2312" w:eastAsia="仿宋_GB2312"/>
        </w:rPr>
        <w:t>详见附件：8.服务保障与应急响应.docx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详见附件：玉米一喷多促喷防作业服务政府采购合同书(17.00).docx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