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7CB8A">
      <w:pPr>
        <w:pStyle w:val="4"/>
        <w:jc w:val="center"/>
        <w:rPr>
          <w:rFonts w:hint="eastAsia" w:ascii="宋体" w:hAnsi="宋体" w:eastAsia="宋体" w:cs="宋体"/>
          <w:b/>
          <w:bCs/>
          <w:spacing w:val="12"/>
          <w:kern w:val="2"/>
          <w:sz w:val="44"/>
          <w:szCs w:val="52"/>
          <w:lang w:val="en-US" w:eastAsia="zh-CN" w:bidi="ar-SA"/>
        </w:rPr>
      </w:pPr>
    </w:p>
    <w:p w14:paraId="4D67E87B">
      <w:pPr>
        <w:pStyle w:val="4"/>
        <w:jc w:val="center"/>
        <w:rPr>
          <w:rFonts w:hint="eastAsia" w:ascii="宋体" w:hAnsi="宋体" w:eastAsia="宋体" w:cs="宋体"/>
          <w:b/>
          <w:bCs/>
          <w:spacing w:val="12"/>
          <w:kern w:val="2"/>
          <w:sz w:val="44"/>
          <w:szCs w:val="52"/>
          <w:lang w:val="en-US" w:eastAsia="zh-CN" w:bidi="ar-SA"/>
        </w:rPr>
      </w:pPr>
    </w:p>
    <w:p w14:paraId="2CB3F1B2">
      <w:pPr>
        <w:pStyle w:val="4"/>
        <w:jc w:val="center"/>
        <w:rPr>
          <w:rFonts w:hint="eastAsia" w:ascii="宋体" w:hAnsi="宋体" w:eastAsia="宋体" w:cs="宋体"/>
          <w:b/>
          <w:bCs/>
          <w:spacing w:val="12"/>
          <w:kern w:val="2"/>
          <w:sz w:val="44"/>
          <w:szCs w:val="5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pacing w:val="12"/>
          <w:kern w:val="2"/>
          <w:sz w:val="44"/>
          <w:szCs w:val="52"/>
          <w:lang w:val="en-US" w:eastAsia="zh-CN" w:bidi="ar-SA"/>
        </w:rPr>
        <w:t>玉米一喷多促喷防作业服务</w:t>
      </w:r>
    </w:p>
    <w:p w14:paraId="584FE7D5">
      <w:pPr>
        <w:pStyle w:val="4"/>
        <w:rPr>
          <w:rFonts w:hint="eastAsia" w:ascii="宋体" w:hAnsi="宋体" w:eastAsia="宋体" w:cs="宋体"/>
        </w:rPr>
      </w:pPr>
    </w:p>
    <w:p w14:paraId="1BE10E8A">
      <w:pPr>
        <w:pStyle w:val="4"/>
        <w:rPr>
          <w:rFonts w:hint="eastAsia" w:ascii="宋体" w:hAnsi="宋体" w:eastAsia="宋体" w:cs="宋体"/>
        </w:rPr>
      </w:pPr>
    </w:p>
    <w:p w14:paraId="19C94D41">
      <w:pPr>
        <w:spacing w:line="360" w:lineRule="auto"/>
        <w:jc w:val="center"/>
        <w:rPr>
          <w:rFonts w:hint="eastAsia" w:ascii="宋体" w:hAnsi="宋体" w:eastAsia="宋体" w:cs="宋体"/>
          <w:b/>
          <w:bCs/>
          <w:spacing w:val="12"/>
          <w:sz w:val="52"/>
          <w:szCs w:val="52"/>
        </w:rPr>
      </w:pPr>
    </w:p>
    <w:p w14:paraId="65DD2B35">
      <w:pPr>
        <w:spacing w:line="360" w:lineRule="auto"/>
        <w:jc w:val="center"/>
        <w:rPr>
          <w:rFonts w:hint="eastAsia" w:ascii="宋体" w:hAnsi="宋体" w:eastAsia="宋体" w:cs="宋体"/>
          <w:b/>
          <w:bCs/>
          <w:spacing w:val="12"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spacing w:val="12"/>
          <w:sz w:val="52"/>
          <w:szCs w:val="52"/>
        </w:rPr>
        <w:t>政府采购合同书</w:t>
      </w:r>
    </w:p>
    <w:p w14:paraId="3350ED26">
      <w:pPr>
        <w:spacing w:line="360" w:lineRule="auto"/>
        <w:jc w:val="center"/>
        <w:rPr>
          <w:rFonts w:hint="eastAsia" w:ascii="宋体" w:hAnsi="宋体" w:eastAsia="宋体" w:cs="宋体"/>
          <w:spacing w:val="12"/>
          <w:sz w:val="32"/>
          <w:szCs w:val="32"/>
        </w:rPr>
      </w:pPr>
      <w:r>
        <w:rPr>
          <w:rFonts w:hint="eastAsia" w:ascii="宋体" w:hAnsi="宋体" w:eastAsia="宋体" w:cs="宋体"/>
          <w:spacing w:val="12"/>
          <w:sz w:val="32"/>
          <w:szCs w:val="32"/>
        </w:rPr>
        <w:t xml:space="preserve">                   </w:t>
      </w:r>
    </w:p>
    <w:p w14:paraId="27B0DB5B">
      <w:pPr>
        <w:pStyle w:val="4"/>
        <w:rPr>
          <w:rFonts w:hint="eastAsia" w:ascii="宋体" w:hAnsi="宋体" w:eastAsia="宋体" w:cs="宋体"/>
          <w:spacing w:val="12"/>
        </w:rPr>
      </w:pPr>
    </w:p>
    <w:p w14:paraId="1C31F11D">
      <w:pPr>
        <w:pStyle w:val="4"/>
        <w:rPr>
          <w:rFonts w:hint="eastAsia" w:ascii="宋体" w:hAnsi="宋体" w:eastAsia="宋体" w:cs="宋体"/>
          <w:spacing w:val="12"/>
        </w:rPr>
      </w:pPr>
    </w:p>
    <w:p w14:paraId="05036CF6">
      <w:pPr>
        <w:pStyle w:val="9"/>
        <w:ind w:firstLine="0"/>
        <w:rPr>
          <w:rFonts w:hint="eastAsia" w:ascii="宋体" w:hAnsi="宋体" w:eastAsia="宋体" w:cs="宋体"/>
          <w:spacing w:val="12"/>
          <w:sz w:val="32"/>
          <w:szCs w:val="32"/>
        </w:rPr>
      </w:pPr>
    </w:p>
    <w:p w14:paraId="23B1BDBB">
      <w:pPr>
        <w:rPr>
          <w:rFonts w:hint="eastAsia" w:ascii="宋体" w:hAnsi="宋体" w:eastAsia="宋体" w:cs="宋体"/>
        </w:rPr>
      </w:pPr>
    </w:p>
    <w:p w14:paraId="75019B7C">
      <w:pPr>
        <w:pStyle w:val="15"/>
        <w:ind w:left="0" w:leftChars="0" w:firstLine="0" w:firstLineChars="0"/>
        <w:rPr>
          <w:rFonts w:hint="eastAsia" w:ascii="宋体" w:hAnsi="宋体" w:eastAsia="宋体" w:cs="宋体"/>
        </w:rPr>
      </w:pPr>
    </w:p>
    <w:p w14:paraId="70218345">
      <w:pPr>
        <w:pStyle w:val="15"/>
        <w:ind w:left="0" w:leftChars="0" w:firstLine="0" w:firstLineChars="0"/>
        <w:rPr>
          <w:rFonts w:hint="eastAsia" w:ascii="宋体" w:hAnsi="宋体" w:eastAsia="宋体" w:cs="宋体"/>
        </w:rPr>
      </w:pPr>
    </w:p>
    <w:p w14:paraId="736D619B">
      <w:pPr>
        <w:pStyle w:val="15"/>
        <w:rPr>
          <w:rFonts w:hint="eastAsia" w:ascii="宋体" w:hAnsi="宋体" w:eastAsia="宋体" w:cs="宋体"/>
        </w:rPr>
      </w:pPr>
    </w:p>
    <w:p w14:paraId="0A00C8A0">
      <w:pPr>
        <w:pStyle w:val="15"/>
        <w:rPr>
          <w:rFonts w:hint="eastAsia" w:ascii="宋体" w:hAnsi="宋体" w:eastAsia="宋体" w:cs="宋体"/>
        </w:rPr>
      </w:pPr>
    </w:p>
    <w:p w14:paraId="0ECB10CE">
      <w:pPr>
        <w:pStyle w:val="15"/>
        <w:rPr>
          <w:rFonts w:hint="eastAsia" w:ascii="宋体" w:hAnsi="宋体" w:eastAsia="宋体" w:cs="宋体"/>
        </w:rPr>
      </w:pPr>
    </w:p>
    <w:p w14:paraId="582B404B">
      <w:pPr>
        <w:spacing w:line="360" w:lineRule="auto"/>
        <w:ind w:firstLine="1525" w:firstLineChars="500"/>
        <w:jc w:val="left"/>
        <w:rPr>
          <w:rFonts w:hint="eastAsia" w:ascii="宋体" w:hAnsi="宋体" w:eastAsia="宋体" w:cs="宋体"/>
          <w:b/>
          <w:bCs/>
          <w:spacing w:val="1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12"/>
          <w:sz w:val="28"/>
          <w:szCs w:val="28"/>
        </w:rPr>
        <w:t>采购人：</w:t>
      </w:r>
      <w:r>
        <w:rPr>
          <w:rFonts w:hint="eastAsia" w:ascii="宋体" w:hAnsi="宋体" w:cs="宋体"/>
          <w:b/>
          <w:bCs/>
          <w:spacing w:val="12"/>
          <w:sz w:val="28"/>
          <w:szCs w:val="28"/>
          <w:lang w:eastAsia="zh-CN"/>
        </w:rPr>
        <w:t>白水县农业农村局</w:t>
      </w:r>
    </w:p>
    <w:p w14:paraId="29893E01">
      <w:pPr>
        <w:spacing w:line="360" w:lineRule="auto"/>
        <w:ind w:firstLine="1525" w:firstLineChars="500"/>
        <w:rPr>
          <w:rFonts w:hint="eastAsia" w:ascii="宋体" w:hAnsi="宋体" w:eastAsia="宋体" w:cs="宋体"/>
          <w:b/>
          <w:bCs/>
          <w:spacing w:val="1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2"/>
          <w:sz w:val="28"/>
          <w:szCs w:val="28"/>
        </w:rPr>
        <w:t>供应商：</w:t>
      </w:r>
    </w:p>
    <w:p w14:paraId="66993D7C">
      <w:pPr>
        <w:spacing w:line="640" w:lineRule="exact"/>
        <w:rPr>
          <w:rFonts w:hint="eastAsia" w:ascii="宋体" w:hAnsi="宋体" w:eastAsia="宋体" w:cs="宋体"/>
          <w:sz w:val="24"/>
          <w:lang w:val="en-US" w:eastAsia="zh-CN"/>
        </w:rPr>
        <w:sectPr>
          <w:pgSz w:w="11906" w:h="16838"/>
          <w:pgMar w:top="1440" w:right="1463" w:bottom="1440" w:left="1463" w:header="851" w:footer="992" w:gutter="0"/>
          <w:cols w:space="425" w:num="1"/>
          <w:docGrid w:type="lines" w:linePitch="312" w:charSpace="0"/>
        </w:sectPr>
      </w:pPr>
    </w:p>
    <w:p w14:paraId="285DD8D8">
      <w:pPr>
        <w:spacing w:line="6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签</w:t>
      </w:r>
      <w:r>
        <w:rPr>
          <w:rFonts w:hint="eastAsia" w:ascii="宋体" w:hAnsi="宋体" w:eastAsia="宋体" w:cs="宋体"/>
          <w:sz w:val="24"/>
        </w:rPr>
        <w:t xml:space="preserve">订地点：  </w:t>
      </w:r>
    </w:p>
    <w:p w14:paraId="2905D8C9">
      <w:pPr>
        <w:spacing w:line="6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项目编号：             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签订时间：   年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月  日</w:t>
      </w:r>
    </w:p>
    <w:p w14:paraId="43C34446">
      <w:pPr>
        <w:spacing w:line="640" w:lineRule="exac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采购人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cs="宋体"/>
          <w:sz w:val="24"/>
          <w:lang w:eastAsia="zh-CN"/>
        </w:rPr>
        <w:t>白水县农业农村局</w:t>
      </w:r>
    </w:p>
    <w:p w14:paraId="22041339">
      <w:pPr>
        <w:spacing w:line="6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>：</w:t>
      </w:r>
    </w:p>
    <w:p w14:paraId="32A88FB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根据白水县玉米一喷多促喷防作业服务采购项目结果，按照《中华人民共和国政府采购法》《中华人民共和国</w:t>
      </w:r>
      <w:r>
        <w:rPr>
          <w:rFonts w:hint="eastAsia" w:ascii="宋体" w:hAnsi="宋体" w:eastAsia="宋体" w:cs="宋体"/>
          <w:sz w:val="24"/>
          <w:lang w:val="en-US" w:eastAsia="zh-CN"/>
        </w:rPr>
        <w:t>民法典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》《农作物病虫害防治条例》等法律法规及行业规范，经双方友好协商，本着平等自愿、公平互利、诚实信用的原则，就本项目服务采购事宜达成一致，签订本合同，以资共同信守。</w:t>
      </w:r>
    </w:p>
    <w:p w14:paraId="6703311E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一、合同文件</w:t>
      </w:r>
    </w:p>
    <w:p w14:paraId="1ECC5D25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下列文件为本合同不可分割的组成部分，互为补充、相互解释，文件内容存在不明确、不一致的，以排序在先者为准：</w:t>
      </w:r>
    </w:p>
    <w:p w14:paraId="1B44365B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1.本合同协议书及补充协议条款；</w:t>
      </w:r>
    </w:p>
    <w:p w14:paraId="2F6F5B79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2.成交通知书；</w:t>
      </w:r>
    </w:p>
    <w:p w14:paraId="6C99904A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3.竞争性磋商文件及其澄清、修改、补充文件；</w:t>
      </w:r>
    </w:p>
    <w:p w14:paraId="35426588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4.磋商响应文件及其澄清、说明、承诺文件；</w:t>
      </w:r>
    </w:p>
    <w:p w14:paraId="0BB637CB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5.国家、陕西省、渭南市现行政府采购政策、农业行业标准及规范；</w:t>
      </w:r>
    </w:p>
    <w:p w14:paraId="271C99D9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6.《农作物病虫害防治条例》《农业社会化服务 农作物病虫害防治服务质量要求》（GB/T 32980-2016）、《农业社会化服务 农作物病虫害防治服务质量评价》（GB/T 33311-2016）等相关国家标准、行业规范。</w:t>
      </w:r>
    </w:p>
    <w:p w14:paraId="58EC16D7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</w:rPr>
      </w:pPr>
      <w:bookmarkStart w:id="0" w:name="_Toc9090"/>
      <w:r>
        <w:rPr>
          <w:rFonts w:hint="eastAsia" w:ascii="宋体" w:hAnsi="宋体" w:eastAsia="宋体" w:cs="宋体"/>
          <w:b/>
          <w:bCs/>
          <w:sz w:val="24"/>
        </w:rPr>
        <w:t>二、服务内容与要求</w:t>
      </w:r>
    </w:p>
    <w:p w14:paraId="29871FB6">
      <w:pPr>
        <w:spacing w:line="360" w:lineRule="auto"/>
        <w:ind w:firstLine="482" w:firstLineChars="200"/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（一）服务目标</w:t>
      </w:r>
    </w:p>
    <w:p w14:paraId="3DA994D7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针对玉米中后期（穗期）生长关键窗口期，开展一体化“一喷多促”植保喷防作业，科学防控玉米中后期各类高发病虫害，有效预防植株早衰、抵御倒伏风险，促进玉米灌浆饱满、提升千粒重，实现控害保产、提质稳收目标，全面保障白水县区域粮食安全生产与丰产丰收。</w:t>
      </w:r>
    </w:p>
    <w:p w14:paraId="2A710C45">
      <w:pPr>
        <w:spacing w:line="360" w:lineRule="auto"/>
        <w:ind w:firstLine="482" w:firstLineChars="200"/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（二）服务面积与地点</w:t>
      </w:r>
    </w:p>
    <w:p w14:paraId="6C215D83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1.服务面积：</w:t>
      </w:r>
      <w:r>
        <w:rPr>
          <w:rFonts w:hint="eastAsia" w:ascii="宋体" w:hAnsi="宋体" w:eastAsia="宋体" w:cs="宋体"/>
          <w:b/>
          <w:bCs/>
          <w:sz w:val="24"/>
        </w:rPr>
        <w:t>服务面积：</w:t>
      </w:r>
      <w:r>
        <w:rPr>
          <w:rFonts w:hint="eastAsia" w:ascii="宋体" w:hAnsi="宋体" w:eastAsia="宋体" w:cs="宋体"/>
          <w:i/>
          <w:iCs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亩（</w:t>
      </w:r>
      <w:r>
        <w:rPr>
          <w:rFonts w:hint="eastAsia" w:ascii="宋体" w:hAnsi="宋体" w:cs="宋体"/>
          <w:sz w:val="24"/>
          <w:lang w:val="en-US" w:eastAsia="zh-CN"/>
        </w:rPr>
        <w:t>合同总价/成交单价</w:t>
      </w:r>
      <w:r>
        <w:rPr>
          <w:rFonts w:hint="eastAsia" w:ascii="宋体" w:hAnsi="宋体" w:eastAsia="宋体" w:cs="宋体"/>
          <w:sz w:val="24"/>
        </w:rPr>
        <w:t>）。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最终作业地块、范围以甲方开工前现场交底、书面确认的各乡镇、村组玉米种植地块为准，乙方须无条件全覆盖作业，杜绝漏防、弃防、少防情况。</w:t>
      </w:r>
    </w:p>
    <w:p w14:paraId="640050C3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2.服务地点：陕西省渭南市白水县采购人指定各乡镇、村组玉米种植地块。</w:t>
      </w:r>
    </w:p>
    <w:p w14:paraId="5EB05A79">
      <w:pPr>
        <w:spacing w:line="360" w:lineRule="auto"/>
        <w:ind w:firstLine="482" w:firstLineChars="200"/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（三）药剂及物料使用标准</w:t>
      </w:r>
    </w:p>
    <w:p w14:paraId="5975F59C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项目所有使用药剂、叶面肥、调节剂、助剂均须三证齐全（农药登记证、农药生产许可证、产品质量标准合格证），符合国家绿色农业、农药安全使用标准，具备高效低毒、安全环保、低残留等特点。产品农药登记证防治靶标与项目防控对象一致，登记作物载明玉米，或登记水稻、小麦、高粱等禾本科大田作物，依据《农药登记管理办法》及农业农村部同类作物延伸使用指导规则，可合规应用于玉米田防治相同病虫害；所有药剂严格按照农药登记证载明推荐剂量配比使用，严禁减量、滥配、使用违禁物资。具体物料选用要求如下：</w:t>
      </w:r>
    </w:p>
    <w:p w14:paraId="0382C59E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1.杀虫剂：优先选用甲维盐类、氯虫苯甲酰胺类合规低毒杀虫剂，针对玉米螟、草地贪夜蛾、蚜虫、红蜘蛛防效优良，严格按照农药登记标签推荐剂量施用；</w:t>
      </w:r>
    </w:p>
    <w:p w14:paraId="6A42D714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2.杀菌剂：优先选用苯醚甲环唑、吡唑醚菌酯类广谱杀菌剂，适用于玉米锈病、大小斑病、赤霉病、白粉病防治，严格按照农药登记标签推荐剂量施用；</w:t>
      </w:r>
    </w:p>
    <w:p w14:paraId="31599F7D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3.叶面肥：农用磷酸二氢钾，主含量KH₂PO₄≥99.0%，达到国家农用优等品标准，每亩施用总量≥100g；</w:t>
      </w:r>
    </w:p>
    <w:p w14:paraId="33140248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4.植物调节剂：已取得有效农药登记证的0.01% 24-表芸苔素内酯产品，严格按照农药登记标签推荐剂量喷施，满足玉米穗期抗逆、促灌浆、防早衰调节需求；</w:t>
      </w:r>
      <w:bookmarkStart w:id="2" w:name="_GoBack"/>
      <w:bookmarkEnd w:id="2"/>
    </w:p>
    <w:p w14:paraId="31760642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5.飞防助剂：选用油脂类飞防专用助剂，依据产品使用说明规范配比使用，提升药液附着、渗透、延展、抗漂移性能，保障整体防治效果；</w:t>
      </w:r>
    </w:p>
    <w:p w14:paraId="78C5D781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6.所有物资均为全新正品、在产品有效期内，无过期、变质、假冒伪劣产品；作业前须向采购人提交全套物资资质台账、产品批次合格证、出厂质量检测报告备查。</w:t>
      </w:r>
    </w:p>
    <w:p w14:paraId="063D650B">
      <w:pPr>
        <w:spacing w:line="360" w:lineRule="auto"/>
        <w:ind w:firstLine="482" w:firstLineChars="200"/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（四）作业服务规范要求</w:t>
      </w:r>
    </w:p>
    <w:p w14:paraId="41C7C54A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1.设备要求：全程采用无人机、地面植保器械等现代化植保设备作业，设备性能完好、工况稳定，配套管理制度、安全作业制度、设备运维制度健全；作业能力可保障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万亩地块在合同约定工期内保质保量完成，作业人员持证上岗、规范操作，具备专业植保作业能力。</w:t>
      </w:r>
    </w:p>
    <w:p w14:paraId="05E312AF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2.防治效果要求：结合当年白水县玉米病虫害发生特点、作物生长性状开展精准作业，整体病虫害防治率≥90%，病虫害危害损失率控制在5%以内，作业后玉米无大面积病虫害蔓延、早衰、倒伏、药害等问题。</w:t>
      </w:r>
    </w:p>
    <w:p w14:paraId="32CE1DEB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3.作业标准：严格执行标准化配比、标准化作业、标准化管控流程，杜绝漏喷、重喷、少喷、错喷，严控药剂配比不达标、作业高度不当、喷洒不均匀等违规问题。</w:t>
      </w:r>
    </w:p>
    <w:p w14:paraId="41E9379C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4.示范建设：打造标准化玉米病虫害应急防治示范区，全方位落实病虫害综合防控及提质增产作业要求。</w:t>
      </w:r>
    </w:p>
    <w:p w14:paraId="30126097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5.台账管理：全程做好地块摸排、药剂出入库、设备运行、每日作业、气象记录、影像留存等全流程台账，形成可追溯的完整作业资料。</w:t>
      </w:r>
    </w:p>
    <w:p w14:paraId="3F994C62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</w:rPr>
        <w:t>、合同价款</w:t>
      </w:r>
      <w:bookmarkEnd w:id="0"/>
    </w:p>
    <w:p w14:paraId="1CD509E0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（一）合同价款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：</w:t>
      </w:r>
    </w:p>
    <w:p w14:paraId="4DB04F4F">
      <w:pPr>
        <w:pStyle w:val="5"/>
        <w:ind w:firstLine="482" w:firstLineChars="200"/>
        <w:rPr>
          <w:rFonts w:hint="default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总价：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人民币（大写）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u w:val="single"/>
          <w:lang w:val="en-US" w:eastAsia="zh-CN"/>
        </w:rPr>
        <w:t>壹佰贰拾伍万伍仟陆佰元整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（￥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u w:val="single"/>
          <w:lang w:val="en-US" w:eastAsia="zh-CN"/>
        </w:rPr>
        <w:t>1255600.00元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）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；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单价：</w:t>
      </w:r>
      <w:r>
        <w:rPr>
          <w:rFonts w:hint="eastAsia" w:ascii="宋体" w:hAnsi="宋体" w:cs="宋体"/>
          <w:b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</w:t>
      </w:r>
      <w:r>
        <w:rPr>
          <w:rFonts w:hint="eastAsia" w:ascii="宋体" w:hAnsi="宋体" w:cs="宋体"/>
          <w:b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元/亩。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本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项目采购预算为125.56万元，本合同价款为最终包干总价，不受市场价格波动、作业难度增加、气候影响等各类风险因素调整。</w:t>
      </w:r>
    </w:p>
    <w:p w14:paraId="3CDB2569">
      <w:pPr>
        <w:spacing w:line="360" w:lineRule="auto"/>
        <w:ind w:firstLine="482" w:firstLineChars="200"/>
        <w:rPr>
          <w:rFonts w:hint="eastAsia" w:ascii="宋体" w:hAnsi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（二）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费用范围：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本合同总价、单价为全费用包干价，包含项目实施全过程所有费用，具体涵盖：各类药剂、叶面肥、调节剂、助剂等物资采购、运输、保管费；设备租赁、运维、燃油耗材费；人工作业、现场协调、安全防护、应急处置费；项目管理、资料编制、检测验收、人员保险、税费、风险金等全部相关费用。</w:t>
      </w:r>
    </w:p>
    <w:p w14:paraId="15EA7A0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服务期内，除甲方书面正式新增的服务内容外，甲方不追加任何费用；甲方书面要求新增的服务内容，由乙方无偿完成，不产生额外费用，所有隐性风险均由乙方自行承担。</w:t>
      </w:r>
    </w:p>
    <w:p w14:paraId="51AF33F1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bookmarkStart w:id="1" w:name="_Toc5628"/>
      <w:r>
        <w:rPr>
          <w:rFonts w:hint="eastAsia" w:ascii="宋体" w:hAnsi="宋体" w:cs="宋体"/>
          <w:b/>
          <w:sz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sz w:val="24"/>
        </w:rPr>
        <w:t>服务期限与地点</w:t>
      </w:r>
    </w:p>
    <w:p w14:paraId="444E8E8E">
      <w:pPr>
        <w:spacing w:line="360" w:lineRule="auto"/>
        <w:ind w:firstLine="482" w:firstLineChars="200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（一）服务期限：</w:t>
      </w:r>
      <w:r>
        <w:rPr>
          <w:rFonts w:hint="eastAsia" w:ascii="宋体" w:hAnsi="宋体" w:eastAsia="宋体" w:cs="宋体"/>
          <w:b w:val="0"/>
          <w:bCs/>
          <w:sz w:val="24"/>
        </w:rPr>
        <w:t>自合同签订之日起15个日历天内，完成全部地块排查、喷防作业、台账整理、资料汇总及初验准备工作，严格契合玉米穗期防治关键窗口期，不得延误农时、拖延工期。</w:t>
      </w:r>
    </w:p>
    <w:p w14:paraId="1D7C5459">
      <w:pPr>
        <w:spacing w:line="360" w:lineRule="auto"/>
        <w:ind w:firstLine="482" w:firstLineChars="200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（二）服务地点：</w:t>
      </w:r>
      <w:r>
        <w:rPr>
          <w:rFonts w:hint="eastAsia" w:ascii="宋体" w:hAnsi="宋体" w:eastAsia="宋体" w:cs="宋体"/>
          <w:b w:val="0"/>
          <w:bCs/>
          <w:sz w:val="24"/>
        </w:rPr>
        <w:t>陕西省渭南市白水县甲方指定各乡镇、村组玉米种植地块。</w:t>
      </w:r>
    </w:p>
    <w:p w14:paraId="2F69BAF8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cs="宋体"/>
          <w:b/>
          <w:sz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sz w:val="24"/>
        </w:rPr>
        <w:t>、款项结算</w:t>
      </w:r>
      <w:bookmarkEnd w:id="1"/>
    </w:p>
    <w:p w14:paraId="1646E506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</w:rPr>
        <w:t>本项目款项分两期无息支付，结算方式为银行转账，乙方需在甲方付款前开具等额合规增值税发票。具体付款节点如下：</w:t>
      </w:r>
    </w:p>
    <w:p w14:paraId="4373335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bCs/>
          <w:kern w:val="0"/>
          <w:sz w:val="24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1"/>
        </w:rPr>
        <w:t>（一）</w:t>
      </w:r>
      <w:r>
        <w:rPr>
          <w:rFonts w:hint="eastAsia" w:ascii="宋体" w:hAnsi="宋体" w:cs="宋体"/>
          <w:b/>
          <w:bCs/>
          <w:kern w:val="0"/>
          <w:sz w:val="24"/>
          <w:szCs w:val="21"/>
          <w:lang w:val="en-US" w:eastAsia="zh-CN"/>
        </w:rPr>
        <w:t>付款方式</w:t>
      </w:r>
    </w:p>
    <w:p w14:paraId="6A69B03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lang w:val="en-US" w:eastAsia="zh-CN"/>
        </w:rPr>
        <w:t>1.预付款</w:t>
      </w:r>
      <w:r>
        <w:rPr>
          <w:rFonts w:hint="eastAsia" w:ascii="宋体" w:hAnsi="宋体" w:eastAsia="宋体" w:cs="宋体"/>
          <w:b/>
          <w:bCs/>
          <w:kern w:val="0"/>
          <w:sz w:val="24"/>
          <w:szCs w:val="21"/>
          <w:highlight w:val="none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合同签订生效，乙方提交完整开工资料、履约资料且经甲方核查达标，达到付款条件后15个工作日内，甲方向乙方支付合同总金额的40%；</w:t>
      </w:r>
    </w:p>
    <w:p w14:paraId="7B60DC3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2.尾款：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乙方完成全部作业、提交全套完整成果资料，经甲方组织竣工验收合格，无质量问题、无争议纠纷，达到付款条件后15个工作日内，甲方向乙方支付合同总金额的60%。</w:t>
      </w:r>
    </w:p>
    <w:p w14:paraId="61EE94BE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若项目存在质量缺陷、资料缺失、整改未完成等问题，尾款顺延至全部整改验收合格后支付。</w:t>
      </w:r>
    </w:p>
    <w:p w14:paraId="61D94B33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六、双方权利与义务</w:t>
      </w:r>
    </w:p>
    <w:p w14:paraId="6182834B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（一）采购人（甲方）权利与义务</w:t>
      </w:r>
    </w:p>
    <w:p w14:paraId="43AFB18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1.权利：</w:t>
      </w:r>
    </w:p>
    <w:p w14:paraId="2F9C27A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（1）有权全程监督项目作业进度、物资质量、作业规范及服务成效，随时询问项目进展，提出整改意见及优化建议。</w:t>
      </w:r>
    </w:p>
    <w:p w14:paraId="173E9DB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（2）有权要求乙方按期整改作业问题、处置突发情况，对乙方违规作业、履职不到位行为予以追责。</w:t>
      </w:r>
    </w:p>
    <w:p w14:paraId="454D3712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（3）有权核查乙方作业人员、设备、农资资质，委托第三方检测机构对药剂质量、防治效果进行抽检，抽检不合格产生的所有费用由乙方承担。</w:t>
      </w:r>
    </w:p>
    <w:p w14:paraId="3A99E5DE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（4）有权对乙方项目负责人、技术负责人履职情况进行监督，对擅自离岗、履职不力人员要求更换，直至终止合同并追责索赔。</w:t>
      </w:r>
    </w:p>
    <w:p w14:paraId="72E3EA4C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2.义务：</w:t>
      </w:r>
    </w:p>
    <w:p w14:paraId="2CE776A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（1）及时向乙方提供项目实施所需的基础资料、作业地块交底信息，协调项目现场相关事宜。</w:t>
      </w:r>
    </w:p>
    <w:p w14:paraId="16E8FD36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（2）严格按照合同约定节点、方式及时支付合同款项。</w:t>
      </w:r>
    </w:p>
    <w:p w14:paraId="0030E4C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（3）按时组织开展项目阶段性检查、期末竣工验收及效果评价工作。</w:t>
      </w:r>
    </w:p>
    <w:p w14:paraId="6B8EE740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（二）供应商（乙方）权利与义务</w:t>
      </w:r>
    </w:p>
    <w:p w14:paraId="3E859B70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1.权利：</w:t>
      </w:r>
    </w:p>
    <w:p w14:paraId="4CB294AC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（1）项目实施过程中，甲方提供的资料、交底信息不明确时，可向甲方提交书面报告申请核实。</w:t>
      </w:r>
    </w:p>
    <w:p w14:paraId="5417B33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（2）有权进入项目现场开展勘察、作业筹备等相关工作。</w:t>
      </w:r>
    </w:p>
    <w:p w14:paraId="7092DE7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2.义务：</w:t>
      </w:r>
    </w:p>
    <w:p w14:paraId="2665080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1）人员配置：合同签订后3个工作日内组建专属项目团队，固定配置1名项目负责人+1名专职技术负责人，全程统筹项目进度、质量、安全、人员管理及现场协调，按时参加甲方组织的会议、督导检查，核心人员未经甲方书面同意不得擅自更换。</w:t>
      </w:r>
    </w:p>
    <w:p w14:paraId="5A5D408E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2）方案报备：开工前3个工作日内，向甲方提交正式《项目实施方案》《安全作业责任协议》《专项应急预案》，明确管理架构、人员资质、作业计划、技术保障、安全管控、应急处置等内容，经甲方审核通过后方可开工。</w:t>
      </w:r>
    </w:p>
    <w:p w14:paraId="355067B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（3）作业管控：严格按照国家规范、采购需求、合同约定及审定方案开展作业，规范药剂配比、作业流程、喷洒标准，全程做好安全防护，杜绝药害、安全事故、环境污染问题。</w:t>
      </w:r>
    </w:p>
    <w:p w14:paraId="4C8563E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（4）过程溯源：全程记录作业时间、地块范围、气象条件、药剂用量、设备轨迹、作业影像等信息，建立完整、真实、可追溯的作业台账。</w:t>
      </w:r>
    </w:p>
    <w:p w14:paraId="6208F823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（5）物资管控：严格落实农资合规要求，配合甲方抽检核查，杜绝不合格、过期、违禁农资入场使用。</w:t>
      </w:r>
    </w:p>
    <w:p w14:paraId="3B7C7F81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6）安全责任：全权负责项目全过程人员、设备、用药、场地及第三方安全，为作业人员购买足额人身意外伤害保险；作业期间发生的人员伤亡、财产损失、环境污染、作物药害等一切安全事故及纠纷，由乙方承担全部责任及经济损失。</w:t>
      </w:r>
    </w:p>
    <w:p w14:paraId="474BF98C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（7）应急处置：针对药剂泄漏、设备故障、极端天气、防治效果不达标、病虫害反弹、作物药害等突发情况，落实应急预案，第一时间妥善处置，保障项目质量与农时进度。</w:t>
      </w:r>
    </w:p>
    <w:p w14:paraId="77EF55C3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8）资料交付：全部作业完成后5个工作日内，向甲方提交全套完整资料，包含地块台账、作业记录、农资使用台账、设备运行记录、现场影像、防治效果分析报告、项目总结报告等，确保资料规范合规、完整归档。</w:t>
      </w:r>
    </w:p>
    <w:p w14:paraId="206E8D5B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（9）配合验收：全程配合甲方督导检查、中期核查、竣工验收及效果评价工作，无条件整改各类问题，直至验收合格。</w:t>
      </w:r>
    </w:p>
    <w:p w14:paraId="7BA9197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default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七、质保服务</w:t>
      </w:r>
    </w:p>
    <w:p w14:paraId="45743EF3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本项目质保期自项目竣工验收合格之日起，至当季玉米全部收获完毕止。质保范围涵盖病虫害防治效果、作物药害问题、作业不到位引发的病虫害反弹、植株早衰、产量损失等全部问题。</w:t>
      </w:r>
    </w:p>
    <w:p w14:paraId="5FFB693D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质保期内，因乙方药剂质量不达标、配比错误、作业不规范、整改不到位等自身原因，导致防治效果低于90%、出现大面积药害、病虫害反弹蔓延、玉米早衰减产的，乙方须无偿开展补防、解药喷施、病害处置等补救服务，并承担由此造成的全部直接经济损失及相关责任。</w:t>
      </w:r>
    </w:p>
    <w:p w14:paraId="4DBB958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八、验收</w:t>
      </w:r>
    </w:p>
    <w:p w14:paraId="44F756F6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（一）验收组织：</w:t>
      </w: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甲方负责组织成立验收小组，成员包含甲方代表、农业技术专家、第三方检测人员、受益农户代表等，独立开展验收工作。</w:t>
      </w:r>
    </w:p>
    <w:p w14:paraId="0A086B9B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（二）验收时间：</w:t>
      </w: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乙方完成全部作业、提交完整资料并提交验收申请后，甲方在7个工作日内组织开展全面验收。</w:t>
      </w:r>
    </w:p>
    <w:p w14:paraId="18CA36C3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（三）验收依据</w:t>
      </w:r>
    </w:p>
    <w:p w14:paraId="2D86C6FC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以本合同、采购需求、磋商文件、响应文件、《农作物病虫害防治条例》、GB/T 32980-2016、GB/T 33311-2016等国家及行业现行标准为唯一验收依据。</w:t>
      </w:r>
    </w:p>
    <w:p w14:paraId="3B6F8E5C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1"/>
          <w:highlight w:val="none"/>
          <w:lang w:val="en-US" w:eastAsia="zh-CN"/>
        </w:rPr>
        <w:t>（四）验收核心内容及标准</w:t>
      </w:r>
    </w:p>
    <w:p w14:paraId="6C22C21D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1.农资资质：所有药剂、叶面肥、调节剂、助剂三证齐全、合规有效，适配玉米作物，品类、配比、用量完全符合合同及采购需求约定；</w:t>
      </w:r>
    </w:p>
    <w:p w14:paraId="1A45138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2.作业管控：作业设备到位、流程规范，足额完成≥6万亩作业面积，无大面积漏防、未防、错防地块，按期完成全部作业任务；</w:t>
      </w:r>
    </w:p>
    <w:p w14:paraId="0BEEAF6B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3.防治成效：病虫害防治率≥90%，病虫害危害损失率≤5%，玉米无大面积药害、早衰、倒伏、病虫害蔓延问题；</w:t>
      </w:r>
    </w:p>
    <w:p w14:paraId="14C1DDA5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4.资料归档：全过程台账、影像、报告等资料完整、真实、规范，符合归档要求。</w:t>
      </w:r>
    </w:p>
    <w:p w14:paraId="43FC68FE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1"/>
          <w:highlight w:val="none"/>
          <w:lang w:val="en-US" w:eastAsia="zh-CN"/>
        </w:rPr>
        <w:t>（五）验收结果处理</w:t>
      </w:r>
    </w:p>
    <w:p w14:paraId="312F17C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1.验收合格的，由验收小组出具正式验收报告，作为尾款支付的核心依据；</w:t>
      </w:r>
    </w:p>
    <w:p w14:paraId="7F669D5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2.验收发现漏防、未防、防治效果不达标、资料缺失等问题，甲方有权责令乙方限期无偿补防、全面整改，直至验收合格，补防及整改产生的所有费用由乙方自行承担；</w:t>
      </w:r>
    </w:p>
    <w:p w14:paraId="5C2A6F2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3.乙方逾期未整改、整改后仍不达标，或拒绝补防整改的，甲方有权单方解除合同，不予支付剩余尾款，并追责乙方全部经济损失及违约责任；</w:t>
      </w:r>
    </w:p>
    <w:p w14:paraId="1832ACB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4.因乙方作业、农资质量问题造成玉米减产、农户损失的，由乙方承担全部赔偿责任及相关法律责任。</w:t>
      </w:r>
    </w:p>
    <w:p w14:paraId="355805B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九、知识产权与保密</w:t>
      </w:r>
    </w:p>
    <w:p w14:paraId="7ABC15FE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（一）知识产权：</w:t>
      </w:r>
    </w:p>
    <w:p w14:paraId="04240A90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1.项目履行过程中，乙方独立完成的作业方案、技术成果、过程台账、总结报告等资料，知识产权归乙方所有，甲方可在本项目范围内无偿使用。</w:t>
      </w:r>
    </w:p>
    <w:p w14:paraId="2B9D15E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2.乙方使用第三方技术、产品的，须确保无知识产权侵权问题，承担全部侵权法律责任及经济损失。</w:t>
      </w:r>
    </w:p>
    <w:p w14:paraId="6F93AE8E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3.甲方提供的基础数据、技术资料、地块信息等知识产权归甲方所有，乙方不得用于本项目以外任何用途。</w:t>
      </w:r>
    </w:p>
    <w:p w14:paraId="0ED9A4CE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（二）保密义务：</w:t>
      </w:r>
    </w:p>
    <w:p w14:paraId="3B7D3CAF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1.乙方对项目获取的所有原始资料、农户信息、作业数据等涉密信息严格保密，项目结束后完整交还甲方，不得对外泄露、传播、挪用。</w:t>
      </w:r>
    </w:p>
    <w:p w14:paraId="083CEFE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2.涉及国家秘密的，乙方严格遵守《中华人民共和国保守国家秘密法》，涉密人员需经过保密培训、签订保密承诺书，严格落实保密制度，严禁泄密。</w:t>
      </w:r>
    </w:p>
    <w:p w14:paraId="1D866DF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十、转让与分包</w:t>
      </w:r>
    </w:p>
    <w:p w14:paraId="01454B53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（一）本合同范围的项目服务内容，应由供应商直接服务，不得转让他人。</w:t>
      </w:r>
    </w:p>
    <w:p w14:paraId="164183A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（二）如有转让和未经采购人同意的分包行为，采购人有权解除合同，并追究供应商的违约责任。</w:t>
      </w:r>
    </w:p>
    <w:p w14:paraId="6590438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十一、违约责任</w:t>
      </w:r>
    </w:p>
    <w:p w14:paraId="47597822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（一）乙方违约责任：</w:t>
      </w:r>
    </w:p>
    <w:p w14:paraId="7F9BCDC5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1.乙方未按合同标准、技术要求提供喷防服务，作业质量、防治效果不达标，须在甲方指定期限内无条件整改、补防，直至达标；逾期未整改、整改不合格的，甲方有权解除合同、不予支付任何款项，并要求乙方赔偿全部损失。</w:t>
      </w:r>
    </w:p>
    <w:p w14:paraId="14654F6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2.乙方未在合同约定15个日历天内完成全部作业任务，每逾期一日，按合同总金额的1‰向甲方支付违约金；逾期超过10日的，甲方有权单方解除合同，追责乙方全部损失。</w:t>
      </w:r>
    </w:p>
    <w:p w14:paraId="0CB5723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3.项目最终验收防治率未达90%（不可抗力、甲方原因除外），乙方须无偿补防；补防后仍不达标的，甲方有权扣除合同总金额20%作为违约金，并追偿实际减产、整改等全部损失。</w:t>
      </w:r>
    </w:p>
    <w:p w14:paraId="10FE6996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4.乙方使用的农资三证不全、不符合国标、不适配玉米作物、未按约定品类及配比使用，或使用违禁、过期、劣质农资的，甲方有权立即终止合同，乙方承担全部法律后果、经济损失及行政处罚责任。</w:t>
      </w:r>
    </w:p>
    <w:p w14:paraId="5928059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5.未经甲方书面同意，乙方擅自更换项目负责人、技术负责人的，每次向甲方支付违约金2万元。</w:t>
      </w:r>
    </w:p>
    <w:p w14:paraId="0FA91A85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6.乙方未按要求提交方案、台账、成果资料，或资料虚假、缺失的，甲方有权顺延付款，责令限期整改，并视情节追究违约责任。</w:t>
      </w:r>
    </w:p>
    <w:p w14:paraId="46C2897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（二）甲方违约责任：</w:t>
      </w:r>
    </w:p>
    <w:p w14:paraId="099ADB7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甲方未按合同约定节点支付款项，每逾期一日，按应付未付款项的1‰向乙方支付违约金。</w:t>
      </w:r>
    </w:p>
    <w:p w14:paraId="6AE673AB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  <w:highlight w:val="none"/>
          <w:lang w:val="en-US" w:eastAsia="zh-CN"/>
        </w:rPr>
        <w:t>（三）合同解除：</w:t>
      </w:r>
      <w:r>
        <w:rPr>
          <w:rFonts w:hint="eastAsia" w:ascii="宋体" w:hAnsi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合同生效后，甲乙双方不得无故中途毁约、单方终止合同（合同约定解除情形除外），否则视为根本违约，违约方除承担对方已产生的全部费用外，还需按合同总金额的10%支付违约金。</w:t>
      </w:r>
    </w:p>
    <w:p w14:paraId="16EEF4FB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kern w:val="0"/>
          <w:sz w:val="24"/>
          <w:szCs w:val="21"/>
          <w:highlight w:val="none"/>
          <w:lang w:val="en-US" w:eastAsia="zh-CN"/>
        </w:rPr>
        <w:t>十二、不可抗力</w:t>
      </w:r>
    </w:p>
    <w:p w14:paraId="156A2C00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1.合同履行期间，因地震、暴雨、大风、极端高温等不可抗力导致无法正常履约的，履约期限可相应顺延，顺延时长与不可抗力影响周期一致。</w:t>
      </w:r>
    </w:p>
    <w:p w14:paraId="18782C52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2.不可抗力发生后，乙方须立即书面通知甲方，并在3个工作日内提交权威机构出具的有效证明材料，及时报备受损情况、处置方案。</w:t>
      </w:r>
    </w:p>
    <w:p w14:paraId="791AB87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3.不可抗力持续影响超过120天的，双方友好协商，确定是否继续履行、变更或解除合同。</w:t>
      </w:r>
    </w:p>
    <w:p w14:paraId="22D76280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kern w:val="0"/>
          <w:sz w:val="24"/>
          <w:szCs w:val="21"/>
          <w:highlight w:val="none"/>
          <w:lang w:val="en-US" w:eastAsia="zh-CN"/>
        </w:rPr>
        <w:t>十三、争议解决</w:t>
      </w:r>
    </w:p>
    <w:p w14:paraId="18663842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双方在执行合同中所发生的一切争议，应通过协商解决。如协商不成，可向采购人所在地有管辖权的人民法院起诉。</w:t>
      </w:r>
    </w:p>
    <w:p w14:paraId="5EA86EFD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1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kern w:val="0"/>
          <w:sz w:val="24"/>
          <w:szCs w:val="21"/>
          <w:highlight w:val="none"/>
          <w:lang w:val="en-US" w:eastAsia="zh-CN"/>
        </w:rPr>
        <w:t>十四、合同生效及其他</w:t>
      </w:r>
    </w:p>
    <w:p w14:paraId="2AA479A5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1.本合同自甲乙双方法定代表人或授权委托人签字并加盖公章后生效。</w:t>
      </w:r>
    </w:p>
    <w:p w14:paraId="2DDCC571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2.本合同一式陆份，甲方执贰份，乙方执贰份，其余相关监管、备案部门各执壹份，各份合同具有同等法律效力。</w:t>
      </w:r>
    </w:p>
    <w:p w14:paraId="7FA80D7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3.本合同未尽事宜，双方可协商签订书面补充协议，补充协议与本合同具有同等法律效力。</w:t>
      </w:r>
    </w:p>
    <w:p w14:paraId="32A2CF7B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4"/>
          <w:szCs w:val="21"/>
          <w:highlight w:val="none"/>
          <w:lang w:val="en-US" w:eastAsia="zh-CN"/>
        </w:rPr>
        <w:t>4.本合同所有条款与采购需求、磋商文件要求不一致的，以本修正版合同及采购需求为准。</w:t>
      </w:r>
    </w:p>
    <w:p w14:paraId="19134A22">
      <w:pPr>
        <w:pStyle w:val="5"/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kern w:val="0"/>
          <w:szCs w:val="21"/>
        </w:rPr>
      </w:pPr>
    </w:p>
    <w:p w14:paraId="49BF39A2">
      <w:pPr>
        <w:pStyle w:val="5"/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 xml:space="preserve">采购人（章）：                            供应商（章）：         </w:t>
      </w:r>
    </w:p>
    <w:p w14:paraId="67DF097B">
      <w:pPr>
        <w:pStyle w:val="5"/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kern w:val="0"/>
          <w:szCs w:val="21"/>
        </w:rPr>
      </w:pPr>
    </w:p>
    <w:p w14:paraId="2361DFCB">
      <w:pPr>
        <w:pStyle w:val="5"/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法定代表人　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法定代表人</w:t>
      </w:r>
    </w:p>
    <w:p w14:paraId="3D859B6E">
      <w:pPr>
        <w:pStyle w:val="5"/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kern w:val="0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或委托代理人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签字或盖章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：                或委托代理人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签字或盖章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 xml:space="preserve">：  </w:t>
      </w:r>
    </w:p>
    <w:p w14:paraId="09D9D24F">
      <w:pPr>
        <w:spacing w:line="360" w:lineRule="auto"/>
        <w:jc w:val="center"/>
        <w:rPr>
          <w:rFonts w:hint="eastAsia" w:ascii="宋体" w:hAnsi="宋体" w:eastAsia="宋体" w:cs="宋体"/>
          <w:color w:val="auto"/>
          <w:kern w:val="0"/>
          <w:sz w:val="24"/>
          <w:szCs w:val="21"/>
          <w:lang w:val="en-US" w:eastAsia="zh-CN" w:bidi="ar-SA"/>
        </w:rPr>
      </w:pPr>
    </w:p>
    <w:p w14:paraId="69134DAE">
      <w:pPr>
        <w:spacing w:line="360" w:lineRule="auto"/>
        <w:jc w:val="center"/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lang w:val="en-US" w:eastAsia="zh-CN" w:bidi="ar-SA"/>
        </w:rPr>
        <w:t>年   月   日                                 年   月   日</w:t>
      </w:r>
    </w:p>
    <w:sectPr>
      <w:footerReference r:id="rId5" w:type="default"/>
      <w:pgSz w:w="11906" w:h="16838"/>
      <w:pgMar w:top="1440" w:right="1463" w:bottom="1440" w:left="1463" w:header="851" w:footer="992" w:gutter="0"/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D6413F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C51EC3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C51EC3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04467D"/>
    <w:rsid w:val="00690B9C"/>
    <w:rsid w:val="07BE62CF"/>
    <w:rsid w:val="0ACC5401"/>
    <w:rsid w:val="0AD11E75"/>
    <w:rsid w:val="0B123CA0"/>
    <w:rsid w:val="11FF2C23"/>
    <w:rsid w:val="1BE256A7"/>
    <w:rsid w:val="3EB25A2F"/>
    <w:rsid w:val="3F1F3619"/>
    <w:rsid w:val="42BC3E6B"/>
    <w:rsid w:val="4F2B3479"/>
    <w:rsid w:val="5D1145C2"/>
    <w:rsid w:val="5DB8610B"/>
    <w:rsid w:val="60C85AB3"/>
    <w:rsid w:val="69E16E6F"/>
    <w:rsid w:val="6D04467D"/>
    <w:rsid w:val="70FF4673"/>
    <w:rsid w:val="78C87131"/>
    <w:rsid w:val="7A7C01D3"/>
    <w:rsid w:val="7F22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5">
    <w:name w:val="Body Text"/>
    <w:basedOn w:val="1"/>
    <w:next w:val="1"/>
    <w:qFormat/>
    <w:uiPriority w:val="99"/>
    <w:rPr>
      <w:color w:val="993300"/>
      <w:sz w:val="24"/>
    </w:rPr>
  </w:style>
  <w:style w:type="paragraph" w:styleId="6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10">
    <w:name w:val="Normal (Web)"/>
    <w:basedOn w:val="1"/>
    <w:qFormat/>
    <w:uiPriority w:val="0"/>
    <w:rPr>
      <w:sz w:val="24"/>
    </w:rPr>
  </w:style>
  <w:style w:type="paragraph" w:styleId="11">
    <w:name w:val="Body Text First Indent 2"/>
    <w:basedOn w:val="6"/>
    <w:qFormat/>
    <w:uiPriority w:val="0"/>
    <w:pPr>
      <w:ind w:firstLine="420"/>
    </w:pPr>
  </w:style>
  <w:style w:type="character" w:styleId="14">
    <w:name w:val="Strong"/>
    <w:basedOn w:val="13"/>
    <w:qFormat/>
    <w:uiPriority w:val="0"/>
    <w:rPr>
      <w:b/>
    </w:rPr>
  </w:style>
  <w:style w:type="paragraph" w:customStyle="1" w:styleId="15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5865</Words>
  <Characters>6018</Characters>
  <Lines>0</Lines>
  <Paragraphs>0</Paragraphs>
  <TotalTime>1</TotalTime>
  <ScaleCrop>false</ScaleCrop>
  <LinksUpToDate>false</LinksUpToDate>
  <CharactersWithSpaces>6246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2025-04-09T07:43:00Z</dcterms:created>
  <dc:creator>琥珀</dc:creator>
  <cp:lastModifiedBy>Administrator</cp:lastModifiedBy>
  <dcterms:modified xsi:type="dcterms:W3CDTF">2026-07-10T11:09:07Z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F8041E28E064436796B8213A36354C4C_13</vt:lpwstr>
  </property>
  <property fmtid="{D5CDD505-2E9C-101B-9397-08002B2CF9AE}" pid="4" name="KSOTemplateDocerSaveRecord">
    <vt:lpwstr>eyJoZGlkIjoiMzdjZWE5YmM3Nzc5MGQxNDZjYjA2MTRlM2Q1MjEwODMifQ==</vt:lpwstr>
  </property>
</Properties>
</file>