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73D43">
      <w:pPr>
        <w:spacing w:line="500" w:lineRule="exact"/>
        <w:jc w:val="center"/>
        <w:outlineLvl w:val="0"/>
        <w:rPr>
          <w:rFonts w:ascii="仿宋" w:hAnsi="仿宋" w:eastAsia="仿宋" w:cs="仿宋"/>
          <w:b/>
          <w:color w:val="auto"/>
          <w:sz w:val="40"/>
          <w:szCs w:val="40"/>
        </w:rPr>
      </w:pPr>
      <w:r>
        <w:rPr>
          <w:rFonts w:hint="eastAsia" w:ascii="仿宋" w:hAnsi="仿宋" w:eastAsia="仿宋" w:cs="仿宋"/>
          <w:b/>
          <w:color w:val="auto"/>
          <w:sz w:val="40"/>
          <w:szCs w:val="40"/>
        </w:rPr>
        <w:t>合同</w:t>
      </w:r>
      <w:bookmarkStart w:id="0" w:name="_Toc513029243"/>
      <w:bookmarkStart w:id="1" w:name="_Toc16938559"/>
      <w:bookmarkStart w:id="2" w:name="_Toc20823315"/>
      <w:r>
        <w:rPr>
          <w:rFonts w:hint="eastAsia" w:ascii="仿宋" w:hAnsi="仿宋" w:eastAsia="仿宋" w:cs="仿宋"/>
          <w:b/>
          <w:color w:val="auto"/>
          <w:sz w:val="40"/>
          <w:szCs w:val="40"/>
        </w:rPr>
        <w:t>范本</w:t>
      </w:r>
      <w:r>
        <w:rPr>
          <w:rFonts w:hint="eastAsia" w:ascii="仿宋" w:hAnsi="仿宋" w:eastAsia="仿宋" w:cs="仿宋"/>
          <w:b/>
          <w:color w:val="auto"/>
          <w:sz w:val="24"/>
        </w:rPr>
        <w:t>（仅供参考）</w:t>
      </w:r>
    </w:p>
    <w:bookmarkEnd w:id="0"/>
    <w:bookmarkEnd w:id="1"/>
    <w:bookmarkEnd w:id="2"/>
    <w:p w14:paraId="5313FF88">
      <w:pPr>
        <w:pStyle w:val="11"/>
        <w:spacing w:line="800" w:lineRule="exact"/>
        <w:jc w:val="center"/>
        <w:rPr>
          <w:rFonts w:ascii="仿宋" w:hAnsi="仿宋" w:eastAsia="仿宋" w:cs="仿宋"/>
          <w:b/>
          <w:color w:val="auto"/>
          <w:sz w:val="44"/>
          <w:szCs w:val="44"/>
        </w:rPr>
      </w:pPr>
    </w:p>
    <w:p w14:paraId="619C2DBF">
      <w:pPr>
        <w:pStyle w:val="11"/>
        <w:spacing w:line="800" w:lineRule="exact"/>
        <w:jc w:val="center"/>
        <w:rPr>
          <w:rFonts w:ascii="仿宋" w:hAnsi="仿宋" w:eastAsia="仿宋" w:cs="仿宋"/>
          <w:b/>
          <w:color w:val="auto"/>
          <w:sz w:val="44"/>
          <w:szCs w:val="44"/>
        </w:rPr>
      </w:pPr>
    </w:p>
    <w:p w14:paraId="30A38331">
      <w:pPr>
        <w:pStyle w:val="11"/>
        <w:spacing w:line="800" w:lineRule="exact"/>
        <w:jc w:val="center"/>
        <w:rPr>
          <w:color w:val="auto"/>
          <w:sz w:val="44"/>
          <w:szCs w:val="44"/>
        </w:rPr>
      </w:pPr>
      <w:r>
        <w:rPr>
          <w:rFonts w:hint="eastAsia" w:ascii="仿宋" w:hAnsi="仿宋" w:eastAsia="仿宋" w:cs="仿宋"/>
          <w:b/>
          <w:color w:val="auto"/>
          <w:sz w:val="44"/>
          <w:szCs w:val="44"/>
          <w:u w:val="single"/>
        </w:rPr>
        <w:t xml:space="preserve">                   </w:t>
      </w:r>
      <w:r>
        <w:rPr>
          <w:rFonts w:hint="eastAsia" w:ascii="仿宋" w:hAnsi="仿宋" w:eastAsia="仿宋" w:cs="仿宋"/>
          <w:b/>
          <w:color w:val="auto"/>
          <w:sz w:val="44"/>
          <w:szCs w:val="44"/>
        </w:rPr>
        <w:t>项目</w:t>
      </w:r>
    </w:p>
    <w:p w14:paraId="5A535A79">
      <w:pPr>
        <w:pStyle w:val="11"/>
        <w:rPr>
          <w:color w:val="auto"/>
        </w:rPr>
      </w:pPr>
    </w:p>
    <w:p w14:paraId="314BDB08">
      <w:pPr>
        <w:pStyle w:val="11"/>
        <w:rPr>
          <w:color w:val="auto"/>
        </w:rPr>
      </w:pPr>
    </w:p>
    <w:p w14:paraId="2F4B7C54">
      <w:pPr>
        <w:pStyle w:val="11"/>
        <w:rPr>
          <w:color w:val="auto"/>
        </w:rPr>
      </w:pPr>
    </w:p>
    <w:p w14:paraId="509FAE27">
      <w:pPr>
        <w:pStyle w:val="11"/>
        <w:rPr>
          <w:color w:val="auto"/>
        </w:rPr>
      </w:pPr>
    </w:p>
    <w:p w14:paraId="12D26753">
      <w:pPr>
        <w:pStyle w:val="11"/>
        <w:rPr>
          <w:color w:val="auto"/>
        </w:rPr>
      </w:pPr>
    </w:p>
    <w:p w14:paraId="2B192B34">
      <w:pPr>
        <w:pStyle w:val="11"/>
        <w:rPr>
          <w:color w:val="auto"/>
        </w:rPr>
      </w:pPr>
    </w:p>
    <w:p w14:paraId="419BFD33">
      <w:pPr>
        <w:pStyle w:val="11"/>
        <w:rPr>
          <w:color w:val="auto"/>
        </w:rPr>
      </w:pPr>
    </w:p>
    <w:p w14:paraId="1FCE17F8">
      <w:pPr>
        <w:spacing w:line="600" w:lineRule="exact"/>
        <w:jc w:val="center"/>
        <w:rPr>
          <w:rFonts w:ascii="仿宋" w:hAnsi="仿宋" w:eastAsia="仿宋" w:cs="仿宋"/>
          <w:b/>
          <w:color w:val="auto"/>
          <w:kern w:val="0"/>
          <w:sz w:val="52"/>
          <w:szCs w:val="52"/>
        </w:rPr>
      </w:pPr>
      <w:r>
        <w:rPr>
          <w:rFonts w:hint="eastAsia" w:ascii="仿宋" w:hAnsi="仿宋" w:eastAsia="仿宋" w:cs="仿宋"/>
          <w:b/>
          <w:color w:val="auto"/>
          <w:kern w:val="0"/>
          <w:sz w:val="52"/>
          <w:szCs w:val="52"/>
        </w:rPr>
        <w:t>合 同 书</w:t>
      </w:r>
    </w:p>
    <w:p w14:paraId="4892C136">
      <w:pPr>
        <w:pStyle w:val="4"/>
        <w:rPr>
          <w:rFonts w:hint="default" w:ascii="仿宋" w:hAnsi="仿宋" w:cs="仿宋"/>
          <w:b/>
          <w:color w:val="auto"/>
          <w:sz w:val="36"/>
          <w:szCs w:val="36"/>
        </w:rPr>
      </w:pPr>
    </w:p>
    <w:p w14:paraId="43785384">
      <w:pPr>
        <w:pStyle w:val="4"/>
        <w:rPr>
          <w:rFonts w:hint="default" w:ascii="仿宋" w:hAnsi="仿宋" w:cs="仿宋"/>
          <w:b/>
          <w:color w:val="auto"/>
          <w:sz w:val="36"/>
          <w:szCs w:val="36"/>
        </w:rPr>
      </w:pPr>
    </w:p>
    <w:p w14:paraId="78D5BEDE">
      <w:pPr>
        <w:pStyle w:val="4"/>
        <w:rPr>
          <w:rFonts w:hint="default" w:ascii="仿宋" w:hAnsi="仿宋" w:cs="仿宋"/>
          <w:b/>
          <w:color w:val="auto"/>
          <w:sz w:val="36"/>
          <w:szCs w:val="36"/>
        </w:rPr>
      </w:pPr>
    </w:p>
    <w:p w14:paraId="20555F13">
      <w:pPr>
        <w:spacing w:line="560" w:lineRule="exact"/>
        <w:jc w:val="center"/>
        <w:rPr>
          <w:rFonts w:ascii="仿宋" w:hAnsi="仿宋" w:eastAsia="仿宋" w:cs="仿宋"/>
          <w:b/>
          <w:color w:val="auto"/>
          <w:kern w:val="0"/>
          <w:sz w:val="36"/>
          <w:szCs w:val="36"/>
        </w:rPr>
      </w:pPr>
      <w:r>
        <w:rPr>
          <w:rFonts w:hint="eastAsia" w:ascii="仿宋" w:hAnsi="仿宋" w:eastAsia="仿宋" w:cs="仿宋"/>
          <w:b/>
          <w:color w:val="auto"/>
          <w:kern w:val="0"/>
          <w:sz w:val="36"/>
          <w:szCs w:val="36"/>
        </w:rPr>
        <w:t>合同编号：XXXX</w:t>
      </w:r>
    </w:p>
    <w:p w14:paraId="00F35C92">
      <w:pPr>
        <w:rPr>
          <w:color w:val="auto"/>
        </w:rPr>
      </w:pPr>
    </w:p>
    <w:p w14:paraId="0E37612E">
      <w:pPr>
        <w:pStyle w:val="3"/>
        <w:rPr>
          <w:rFonts w:hint="default"/>
          <w:color w:val="auto"/>
        </w:rPr>
      </w:pPr>
    </w:p>
    <w:p w14:paraId="784A51AD">
      <w:pPr>
        <w:pStyle w:val="5"/>
        <w:rPr>
          <w:color w:val="auto"/>
        </w:rPr>
      </w:pPr>
    </w:p>
    <w:p w14:paraId="165CFD65">
      <w:pPr>
        <w:pStyle w:val="5"/>
        <w:rPr>
          <w:color w:val="auto"/>
        </w:rPr>
      </w:pPr>
    </w:p>
    <w:p w14:paraId="6A017FCF">
      <w:pPr>
        <w:pStyle w:val="5"/>
        <w:rPr>
          <w:color w:val="auto"/>
        </w:rPr>
      </w:pPr>
    </w:p>
    <w:p w14:paraId="2C6772C3">
      <w:pPr>
        <w:pStyle w:val="5"/>
        <w:rPr>
          <w:color w:val="auto"/>
        </w:rPr>
      </w:pPr>
    </w:p>
    <w:p w14:paraId="1CCD0CC6">
      <w:pPr>
        <w:rPr>
          <w:color w:val="auto"/>
        </w:rPr>
      </w:pPr>
    </w:p>
    <w:p w14:paraId="7D1F99F9">
      <w:pPr>
        <w:spacing w:line="560" w:lineRule="exact"/>
        <w:ind w:left="1469" w:hanging="1469" w:hangingChars="400"/>
        <w:rPr>
          <w:rFonts w:ascii="仿宋" w:hAnsi="仿宋" w:eastAsia="仿宋" w:cs="仿宋"/>
          <w:b/>
          <w:color w:val="auto"/>
          <w:spacing w:val="23"/>
          <w:sz w:val="32"/>
          <w:szCs w:val="32"/>
        </w:rPr>
      </w:pPr>
      <w:r>
        <w:rPr>
          <w:rFonts w:hint="eastAsia" w:ascii="仿宋" w:hAnsi="仿宋" w:eastAsia="仿宋" w:cs="仿宋"/>
          <w:b/>
          <w:color w:val="auto"/>
          <w:spacing w:val="23"/>
          <w:sz w:val="32"/>
          <w:szCs w:val="32"/>
        </w:rPr>
        <w:t xml:space="preserve">          甲方（</w:t>
      </w:r>
      <w:r>
        <w:rPr>
          <w:color w:val="auto"/>
        </w:rPr>
        <w:fldChar w:fldCharType="begin"/>
      </w:r>
      <w:r>
        <w:rPr>
          <w:color w:val="auto"/>
        </w:rPr>
        <w:instrText xml:space="preserve"> HYPERLINK "http://set2.mail.qq.com/cgi-bin/mail_spam?action=check_link&amp;spam=0&amp;url=http://www.baidu.com/s?wd=%E9%87%87%E8%B4%AD%E5%8D%95&amp;hl_tag=textlink&amp;tn=SE_hldp01350_v6v6zkg6" </w:instrText>
      </w:r>
      <w:r>
        <w:rPr>
          <w:color w:val="auto"/>
        </w:rPr>
        <w:fldChar w:fldCharType="separate"/>
      </w:r>
      <w:r>
        <w:rPr>
          <w:rStyle w:val="10"/>
          <w:rFonts w:hint="default" w:ascii="仿宋" w:hAnsi="仿宋" w:eastAsia="仿宋" w:cs="仿宋"/>
          <w:b/>
          <w:color w:val="auto"/>
          <w:spacing w:val="23"/>
          <w:sz w:val="32"/>
          <w:szCs w:val="32"/>
        </w:rPr>
        <w:t>采购人</w:t>
      </w:r>
      <w:r>
        <w:rPr>
          <w:rStyle w:val="10"/>
          <w:rFonts w:hint="default"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w:t>
      </w:r>
      <w:r>
        <w:rPr>
          <w:rFonts w:hint="eastAsia" w:ascii="仿宋" w:hAnsi="仿宋" w:eastAsia="仿宋" w:cs="仿宋"/>
          <w:b/>
          <w:color w:val="auto"/>
          <w:spacing w:val="23"/>
          <w:sz w:val="32"/>
          <w:szCs w:val="32"/>
          <w:u w:val="single"/>
        </w:rPr>
        <w:t xml:space="preserve">           .</w:t>
      </w:r>
    </w:p>
    <w:p w14:paraId="28D5B446">
      <w:pPr>
        <w:spacing w:line="560" w:lineRule="exact"/>
        <w:ind w:left="1469" w:hanging="1469" w:hangingChars="400"/>
        <w:rPr>
          <w:rFonts w:ascii="仿宋" w:hAnsi="仿宋" w:eastAsia="仿宋" w:cs="仿宋"/>
          <w:b/>
          <w:color w:val="auto"/>
          <w:spacing w:val="23"/>
          <w:sz w:val="32"/>
          <w:szCs w:val="32"/>
        </w:rPr>
      </w:pPr>
      <w:r>
        <w:rPr>
          <w:rFonts w:hint="eastAsia" w:ascii="仿宋" w:hAnsi="仿宋" w:eastAsia="仿宋" w:cs="仿宋"/>
          <w:b/>
          <w:color w:val="auto"/>
          <w:spacing w:val="23"/>
          <w:sz w:val="32"/>
          <w:szCs w:val="32"/>
        </w:rPr>
        <w:t xml:space="preserve">          </w:t>
      </w:r>
      <w:r>
        <w:rPr>
          <w:color w:val="auto"/>
        </w:rPr>
        <w:fldChar w:fldCharType="begin"/>
      </w:r>
      <w:r>
        <w:rPr>
          <w:color w:val="auto"/>
        </w:rPr>
        <w:instrText xml:space="preserve"> HYPERLINK "http://set2.mail.qq.com/cgi-bin/mail_spam?action=check_link&amp;spam=0&amp;url=http://www.baidu.com/s?wd=%E4%B9%99%E6%96%B9&amp;hl_tag=textlink&amp;tn=SE_hldp01350_v6v6zkg6" </w:instrText>
      </w:r>
      <w:r>
        <w:rPr>
          <w:color w:val="auto"/>
        </w:rPr>
        <w:fldChar w:fldCharType="separate"/>
      </w:r>
      <w:r>
        <w:rPr>
          <w:rStyle w:val="10"/>
          <w:rFonts w:hint="default" w:ascii="仿宋" w:hAnsi="仿宋" w:eastAsia="仿宋" w:cs="仿宋"/>
          <w:b/>
          <w:color w:val="auto"/>
          <w:spacing w:val="23"/>
          <w:sz w:val="32"/>
          <w:szCs w:val="32"/>
        </w:rPr>
        <w:t>乙方</w:t>
      </w:r>
      <w:r>
        <w:rPr>
          <w:rStyle w:val="10"/>
          <w:rFonts w:hint="default"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（供应商）：</w:t>
      </w:r>
      <w:r>
        <w:rPr>
          <w:rFonts w:hint="eastAsia" w:ascii="仿宋" w:hAnsi="仿宋" w:eastAsia="仿宋" w:cs="仿宋"/>
          <w:b/>
          <w:color w:val="auto"/>
          <w:spacing w:val="23"/>
          <w:sz w:val="32"/>
          <w:szCs w:val="32"/>
          <w:u w:val="single"/>
        </w:rPr>
        <w:t xml:space="preserve">           .</w:t>
      </w:r>
    </w:p>
    <w:p w14:paraId="49496186">
      <w:pPr>
        <w:pStyle w:val="6"/>
        <w:adjustRightInd w:val="0"/>
        <w:spacing w:line="560" w:lineRule="exact"/>
        <w:rPr>
          <w:rFonts w:ascii="仿宋" w:hAnsi="仿宋" w:eastAsia="仿宋" w:cs="仿宋"/>
          <w:b/>
          <w:color w:val="auto"/>
          <w:sz w:val="36"/>
          <w:szCs w:val="36"/>
        </w:rPr>
      </w:pPr>
      <w:r>
        <w:rPr>
          <w:rFonts w:hint="eastAsia" w:ascii="仿宋" w:hAnsi="仿宋" w:eastAsia="仿宋" w:cs="仿宋"/>
          <w:b/>
          <w:color w:val="auto"/>
          <w:spacing w:val="23"/>
          <w:kern w:val="0"/>
          <w:sz w:val="32"/>
          <w:szCs w:val="32"/>
        </w:rPr>
        <w:t xml:space="preserve">          签订时间：</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年</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月</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日</w:t>
      </w:r>
    </w:p>
    <w:p w14:paraId="4157B1EE">
      <w:pPr>
        <w:rPr>
          <w:rFonts w:ascii="仿宋" w:hAnsi="仿宋" w:eastAsia="仿宋" w:cs="仿宋"/>
          <w:color w:val="auto"/>
          <w:sz w:val="28"/>
          <w:szCs w:val="28"/>
        </w:rPr>
      </w:pPr>
      <w:r>
        <w:rPr>
          <w:rFonts w:hint="eastAsia" w:ascii="仿宋" w:hAnsi="仿宋" w:eastAsia="仿宋" w:cs="仿宋"/>
          <w:color w:val="auto"/>
          <w:sz w:val="28"/>
          <w:szCs w:val="28"/>
        </w:rPr>
        <w:br w:type="page"/>
      </w:r>
    </w:p>
    <w:p w14:paraId="055BBF0E">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甲方（采购人）：</w:t>
      </w:r>
      <w:r>
        <w:rPr>
          <w:rFonts w:hint="eastAsia" w:ascii="仿宋" w:hAnsi="仿宋" w:eastAsia="仿宋" w:cs="仿宋"/>
          <w:b/>
          <w:color w:val="auto"/>
          <w:sz w:val="28"/>
          <w:szCs w:val="28"/>
          <w:u w:val="single"/>
        </w:rPr>
        <w:t>陕西省道路运输事业发展中心</w:t>
      </w:r>
    </w:p>
    <w:p w14:paraId="347AE1B6">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乙方（成交供应商）：</w:t>
      </w:r>
      <w:r>
        <w:rPr>
          <w:rFonts w:hint="eastAsia" w:ascii="仿宋" w:hAnsi="仿宋" w:eastAsia="仿宋" w:cs="仿宋"/>
          <w:color w:val="auto"/>
          <w:sz w:val="28"/>
          <w:szCs w:val="28"/>
          <w:u w:val="single"/>
        </w:rPr>
        <w:t xml:space="preserve">   </w:t>
      </w:r>
      <w:r>
        <w:rPr>
          <w:rFonts w:hint="eastAsia" w:ascii="仿宋" w:hAnsi="仿宋" w:eastAsia="仿宋" w:cs="仿宋"/>
          <w:b/>
          <w:bCs/>
          <w:color w:val="auto"/>
          <w:sz w:val="28"/>
          <w:szCs w:val="28"/>
          <w:u w:val="single"/>
        </w:rPr>
        <w:t>（成交供应商名称）</w:t>
      </w:r>
      <w:r>
        <w:rPr>
          <w:rFonts w:hint="eastAsia" w:ascii="仿宋" w:hAnsi="仿宋" w:eastAsia="仿宋" w:cs="仿宋"/>
          <w:b/>
          <w:color w:val="auto"/>
          <w:sz w:val="28"/>
          <w:szCs w:val="28"/>
          <w:u w:val="single"/>
        </w:rPr>
        <w:t xml:space="preserve">     </w:t>
      </w:r>
    </w:p>
    <w:p w14:paraId="0F8C4A59">
      <w:pPr>
        <w:spacing w:line="500" w:lineRule="exact"/>
        <w:ind w:firstLine="560" w:firstLineChars="200"/>
        <w:rPr>
          <w:rFonts w:ascii="仿宋" w:hAnsi="仿宋" w:eastAsia="仿宋" w:cs="仿宋"/>
          <w:b/>
          <w:color w:val="auto"/>
          <w:sz w:val="28"/>
          <w:szCs w:val="28"/>
        </w:rPr>
      </w:pPr>
      <w:r>
        <w:rPr>
          <w:rFonts w:hint="eastAsia" w:ascii="仿宋" w:hAnsi="仿宋" w:eastAsia="仿宋" w:cs="仿宋"/>
          <w:color w:val="auto"/>
          <w:sz w:val="28"/>
          <w:szCs w:val="28"/>
        </w:rPr>
        <w:t>根据《中华人民共和国民法典》《中华人民共和国政府采购法》《中华人民共和国政府采购法实施条例》及国家有关法律和行政法规，遵循平等、自愿和诚实信用的原则，双方就</w:t>
      </w:r>
      <w:r>
        <w:rPr>
          <w:rFonts w:hint="eastAsia" w:ascii="仿宋" w:hAnsi="仿宋" w:eastAsia="仿宋" w:cs="仿宋"/>
          <w:color w:val="auto"/>
          <w:sz w:val="28"/>
          <w:szCs w:val="28"/>
          <w:u w:val="single"/>
        </w:rPr>
        <w:t xml:space="preserve"> </w:t>
      </w:r>
      <w:r>
        <w:rPr>
          <w:rFonts w:hint="eastAsia" w:ascii="仿宋" w:hAnsi="仿宋" w:eastAsia="仿宋" w:cs="仿宋"/>
          <w:b/>
          <w:bCs/>
          <w:color w:val="auto"/>
          <w:sz w:val="28"/>
          <w:szCs w:val="28"/>
          <w:u w:val="single"/>
        </w:rPr>
        <w:t xml:space="preserve">               </w:t>
      </w:r>
      <w:r>
        <w:rPr>
          <w:rFonts w:hint="eastAsia" w:ascii="仿宋" w:hAnsi="仿宋" w:eastAsia="仿宋" w:cs="仿宋"/>
          <w:b/>
          <w:bCs/>
          <w:color w:val="auto"/>
          <w:sz w:val="28"/>
          <w:szCs w:val="28"/>
        </w:rPr>
        <w:t xml:space="preserve"> </w:t>
      </w:r>
      <w:r>
        <w:rPr>
          <w:rFonts w:hint="eastAsia" w:ascii="仿宋" w:hAnsi="仿宋" w:eastAsia="仿宋" w:cs="仿宋"/>
          <w:color w:val="auto"/>
          <w:sz w:val="28"/>
          <w:szCs w:val="28"/>
        </w:rPr>
        <w:t>，订立服务合同。</w:t>
      </w:r>
    </w:p>
    <w:p w14:paraId="760355A4">
      <w:pPr>
        <w:spacing w:line="500" w:lineRule="exact"/>
        <w:ind w:firstLine="560" w:firstLineChars="200"/>
        <w:rPr>
          <w:rFonts w:ascii="仿宋" w:hAnsi="仿宋" w:eastAsia="仿宋" w:cs="仿宋"/>
          <w:color w:val="auto"/>
          <w:sz w:val="28"/>
          <w:szCs w:val="28"/>
        </w:rPr>
      </w:pPr>
      <w:bookmarkStart w:id="3" w:name="_Hlk14421923"/>
      <w:r>
        <w:rPr>
          <w:rFonts w:hint="eastAsia" w:ascii="仿宋" w:hAnsi="仿宋" w:eastAsia="仿宋" w:cs="仿宋"/>
          <w:color w:val="auto"/>
          <w:sz w:val="28"/>
          <w:szCs w:val="28"/>
        </w:rPr>
        <w:t>1.合同</w:t>
      </w:r>
      <w:bookmarkStart w:id="4" w:name="_Hlk14421743"/>
      <w:r>
        <w:rPr>
          <w:rFonts w:hint="eastAsia" w:ascii="仿宋" w:hAnsi="仿宋" w:eastAsia="仿宋" w:cs="仿宋"/>
          <w:color w:val="auto"/>
          <w:sz w:val="28"/>
          <w:szCs w:val="28"/>
        </w:rPr>
        <w:t>含税总金额</w:t>
      </w:r>
      <w:bookmarkEnd w:id="4"/>
      <w:r>
        <w:rPr>
          <w:rFonts w:hint="eastAsia" w:ascii="仿宋" w:hAnsi="仿宋" w:eastAsia="仿宋" w:cs="仿宋"/>
          <w:color w:val="auto"/>
          <w:sz w:val="28"/>
          <w:szCs w:val="28"/>
        </w:rPr>
        <w:t>（</w:t>
      </w:r>
      <w:r>
        <w:rPr>
          <w:rFonts w:hint="eastAsia" w:ascii="仿宋" w:hAnsi="仿宋" w:eastAsia="仿宋" w:cs="仿宋"/>
          <w:bCs/>
          <w:color w:val="auto"/>
          <w:sz w:val="28"/>
          <w:szCs w:val="28"/>
        </w:rPr>
        <w:t>大写）：</w:t>
      </w:r>
      <w:r>
        <w:rPr>
          <w:rFonts w:hint="eastAsia" w:ascii="仿宋" w:hAnsi="仿宋" w:eastAsia="仿宋" w:cs="仿宋"/>
          <w:bCs/>
          <w:color w:val="auto"/>
          <w:sz w:val="28"/>
          <w:szCs w:val="28"/>
          <w:u w:val="single"/>
        </w:rPr>
        <w:t>人民币     元</w:t>
      </w:r>
      <w:r>
        <w:rPr>
          <w:rFonts w:hint="eastAsia" w:ascii="仿宋" w:hAnsi="仿宋" w:eastAsia="仿宋" w:cs="仿宋"/>
          <w:color w:val="auto"/>
          <w:sz w:val="28"/>
          <w:szCs w:val="28"/>
          <w:u w:val="single"/>
        </w:rPr>
        <w:t xml:space="preserve">（ </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w:t>
      </w:r>
      <w:r>
        <w:rPr>
          <w:rFonts w:hint="eastAsia" w:ascii="仿宋" w:hAnsi="仿宋" w:eastAsia="仿宋" w:cs="仿宋"/>
          <w:color w:val="auto"/>
          <w:sz w:val="28"/>
          <w:szCs w:val="28"/>
        </w:rPr>
        <w:t>。</w:t>
      </w:r>
      <w:r>
        <w:rPr>
          <w:rFonts w:hint="eastAsia" w:ascii="仿宋" w:hAnsi="仿宋" w:eastAsia="仿宋" w:cs="仿宋"/>
          <w:b/>
          <w:color w:val="auto"/>
          <w:sz w:val="28"/>
          <w:szCs w:val="28"/>
        </w:rPr>
        <w:t>合同总金额如遇财政预算核减，财政核减后金额低于成交总金额的，按财政核减后金额执行。</w:t>
      </w:r>
    </w:p>
    <w:p w14:paraId="0367E53B">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2.服务内容：即交付的服务与竞争性磋商响应文件所指明的服务内容及分项相一致。</w:t>
      </w:r>
    </w:p>
    <w:p w14:paraId="69EC0710">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知识产权：甲方对本合同履行期间产生的成果（包括乙方交付的全部成果以及本合同履行过程中产生的技术文件、系统改进方案等衍生成果）拥有全部权利，包括但不限于知识产权、所有权及相应利益。乙方保证甲方在使用合同服务时，不承担任何涉及知识产权法律诉讼的责任，并且乙方承诺未经甲方事先书面同意，不得将服务成果的知识产权转让或授权给任何第三方。乙方必须在服务期内或服务结束时向甲方交付所有衍生成果以及全部数据（包括但不限于项目所涉及的所有账号、密码、软件源代码等），以确保甲方能够完全掌控项目的所有成果。</w:t>
      </w:r>
    </w:p>
    <w:p w14:paraId="09E5DC9C">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4</w:t>
      </w:r>
      <w:bookmarkStart w:id="5" w:name="OLE_LINK2"/>
      <w:bookmarkStart w:id="6" w:name="OLE_LINK3"/>
      <w:r>
        <w:rPr>
          <w:rFonts w:hint="eastAsia" w:ascii="仿宋" w:hAnsi="仿宋" w:eastAsia="仿宋" w:cs="仿宋"/>
          <w:color w:val="auto"/>
          <w:sz w:val="28"/>
          <w:szCs w:val="28"/>
        </w:rPr>
        <w:t>.服务期限：</w:t>
      </w:r>
      <w:r>
        <w:rPr>
          <w:rFonts w:hint="eastAsia" w:ascii="仿宋" w:hAnsi="仿宋" w:eastAsia="仿宋" w:cs="仿宋"/>
          <w:b/>
          <w:bCs/>
          <w:color w:val="auto"/>
          <w:sz w:val="28"/>
          <w:szCs w:val="28"/>
          <w:u w:val="single"/>
        </w:rPr>
        <w:t>自2026年7月5日起至2027年7月4日</w:t>
      </w:r>
      <w:r>
        <w:rPr>
          <w:rFonts w:hint="eastAsia" w:ascii="仿宋" w:hAnsi="仿宋" w:eastAsia="仿宋" w:cs="仿宋"/>
          <w:color w:val="auto"/>
          <w:sz w:val="28"/>
          <w:szCs w:val="28"/>
        </w:rPr>
        <w:t xml:space="preserve">。 </w:t>
      </w:r>
    </w:p>
    <w:bookmarkEnd w:id="5"/>
    <w:bookmarkEnd w:id="6"/>
    <w:p w14:paraId="51EFCB65">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乙方未征得甲方书面同意和谅解而单方面延迟服务期，甲方有权终止合同，乙方应承担违约责任。乙方遇到可能妨碍按时提供服务的情况，应当及时以书面形式通知甲方，说明原由、拖延的期限等；甲方在收到通知后，尽快进行情况评估并确定是否通过修改合同，酌情延长服务时间或者通过协商加收误期赔偿金。</w:t>
      </w:r>
    </w:p>
    <w:p w14:paraId="52107CCA">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此外，如因发生下列情形导致合同履行困难的，甲方有权提前30日书面通知乙方终止合同，并不承担任何违约责任，乙方应积极配合并办理相关手续：1.国家法律、法规或行业政策发生重大调整（需提供官方文件）；2.政府主管部门的行政命令（需提供书面通知）。</w:t>
      </w:r>
    </w:p>
    <w:p w14:paraId="35116417">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5.服务地点：</w:t>
      </w:r>
      <w:r>
        <w:rPr>
          <w:rFonts w:hint="eastAsia" w:ascii="仿宋" w:hAnsi="仿宋" w:eastAsia="仿宋" w:cs="仿宋"/>
          <w:b/>
          <w:bCs/>
          <w:color w:val="auto"/>
          <w:sz w:val="28"/>
          <w:szCs w:val="28"/>
          <w:u w:val="single"/>
        </w:rPr>
        <w:t>陕西省道路运输事业发展中心指定地点</w:t>
      </w:r>
      <w:r>
        <w:rPr>
          <w:rFonts w:hint="eastAsia" w:ascii="仿宋" w:hAnsi="仿宋" w:eastAsia="仿宋" w:cs="仿宋"/>
          <w:color w:val="auto"/>
          <w:sz w:val="28"/>
          <w:szCs w:val="28"/>
        </w:rPr>
        <w:t>。</w:t>
      </w:r>
    </w:p>
    <w:p w14:paraId="076415B1">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6.结算及付款方式</w:t>
      </w:r>
    </w:p>
    <w:p w14:paraId="74DBD6AD">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6.1.付款方式：</w:t>
      </w:r>
    </w:p>
    <w:p w14:paraId="6615DC06">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合同含税金额（大写）：元（人民币）¥： 元，该费用为本合同向乙方应支付的全部价款，除此之外无需承担或支付其他任何费用。</w:t>
      </w:r>
    </w:p>
    <w:p w14:paraId="4B0F9358">
      <w:pPr>
        <w:spacing w:line="500" w:lineRule="exac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合同签订前，乙方需先缴纳合同总价款5%履约保证金。</w:t>
      </w:r>
      <w:r>
        <w:rPr>
          <w:rFonts w:hint="eastAsia" w:ascii="仿宋" w:hAnsi="仿宋" w:eastAsia="仿宋" w:cs="仿宋"/>
          <w:b/>
          <w:bCs w:val="0"/>
          <w:kern w:val="2"/>
          <w:sz w:val="28"/>
          <w:szCs w:val="28"/>
          <w:lang w:val="en-US" w:eastAsia="zh-CN" w:bidi="ar"/>
        </w:rPr>
        <w:t>供应商自主选择以支票、汇票、本票、保函等非现金形式缴纳或提交履约保证金。</w:t>
      </w:r>
      <w:r>
        <w:rPr>
          <w:rFonts w:ascii="宋体" w:hAnsi="宋体" w:eastAsia="宋体" w:cs="宋体"/>
          <w:sz w:val="28"/>
          <w:szCs w:val="28"/>
          <w:lang w:eastAsia="zh-CN"/>
        </w:rPr>
        <w:t xml:space="preserve"> </w:t>
      </w:r>
      <w:r>
        <w:rPr>
          <w:rFonts w:hint="eastAsia" w:ascii="仿宋" w:hAnsi="仿宋" w:eastAsia="仿宋" w:cs="仿宋"/>
          <w:b/>
          <w:color w:val="auto"/>
          <w:sz w:val="28"/>
          <w:szCs w:val="28"/>
        </w:rPr>
        <w:t>履约保证金在运维服务期满后，经甲方验收合格且乙方提供《××政府采购项目绩效目标表》、合同、验收资料（附件1）后一次无息退回。若乙方违约，甲方有权从履约保证金中直接扣减。</w:t>
      </w:r>
    </w:p>
    <w:p w14:paraId="2CDB7C8E">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服务费支付方式：</w:t>
      </w:r>
    </w:p>
    <w:p w14:paraId="7ECD6232">
      <w:pPr>
        <w:spacing w:line="50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（1）合同签订后，达到付款条件起30日内，支付合同总金额的60%；</w:t>
      </w:r>
    </w:p>
    <w:p w14:paraId="61A9B3F1">
      <w:pPr>
        <w:spacing w:line="50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（2）在财政预算执行时限内，且乙方已向甲方提交符合合同约定标准的阶段性工作报告及书面付款申请并经甲方审核通过后，支付合同总金额的40.00%</w:t>
      </w:r>
      <w:r>
        <w:rPr>
          <w:rFonts w:hint="eastAsia" w:ascii="仿宋" w:hAnsi="仿宋" w:eastAsia="仿宋" w:cs="仿宋"/>
          <w:bCs/>
          <w:color w:val="auto"/>
          <w:sz w:val="28"/>
          <w:szCs w:val="28"/>
          <w:lang w:eastAsia="zh"/>
        </w:rPr>
        <w:t>；</w:t>
      </w:r>
    </w:p>
    <w:p w14:paraId="0FF17BFE">
      <w:pPr>
        <w:spacing w:line="50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w:t>
      </w:r>
      <w:r>
        <w:rPr>
          <w:rFonts w:hint="eastAsia" w:ascii="仿宋" w:hAnsi="仿宋" w:eastAsia="仿宋" w:cs="仿宋"/>
          <w:bCs/>
          <w:color w:val="auto"/>
          <w:sz w:val="28"/>
          <w:szCs w:val="28"/>
          <w:lang w:eastAsia="zh"/>
        </w:rPr>
        <w:t>达到</w:t>
      </w:r>
      <w:r>
        <w:rPr>
          <w:rFonts w:hint="eastAsia" w:ascii="仿宋" w:hAnsi="仿宋" w:eastAsia="仿宋" w:cs="仿宋"/>
          <w:bCs/>
          <w:color w:val="auto"/>
          <w:sz w:val="28"/>
          <w:szCs w:val="28"/>
        </w:rPr>
        <w:t>付款条件说明：乙方在甲方办理以上各期付款的支付手续前，应至少提前5个工作日向甲方出具等额的符合国家规定的发票；因乙方未按时向甲方提供等额发票，导致甲方延期付款时，甲方不承担任何违约责任；</w:t>
      </w:r>
    </w:p>
    <w:p w14:paraId="5B1C01F9">
      <w:pPr>
        <w:spacing w:line="50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（4）上述时间不包括甲方正常办理支付报批手续的时间</w:t>
      </w:r>
      <w:r>
        <w:rPr>
          <w:rFonts w:hint="eastAsia" w:ascii="仿宋" w:hAnsi="仿宋" w:eastAsia="仿宋" w:cs="仿宋"/>
          <w:bCs/>
          <w:color w:val="auto"/>
          <w:sz w:val="28"/>
          <w:szCs w:val="28"/>
          <w:lang w:eastAsia="zh"/>
        </w:rPr>
        <w:t>；</w:t>
      </w:r>
    </w:p>
    <w:p w14:paraId="27CD67F3">
      <w:pPr>
        <w:spacing w:line="50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（5）执行过程中，合同总金额如遇财政预算核减，按财政核减后金额执行</w:t>
      </w:r>
      <w:r>
        <w:rPr>
          <w:rFonts w:hint="eastAsia" w:ascii="仿宋" w:hAnsi="仿宋" w:eastAsia="仿宋" w:cs="仿宋"/>
          <w:bCs/>
          <w:color w:val="auto"/>
          <w:sz w:val="28"/>
          <w:szCs w:val="28"/>
          <w:lang w:eastAsia="zh"/>
        </w:rPr>
        <w:t>；</w:t>
      </w:r>
    </w:p>
    <w:p w14:paraId="450CA1EC">
      <w:pPr>
        <w:spacing w:line="50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（6）如果由于甲方因国家政策的要求进行单位变更、机构改革等其他原因导致合同无法履行，甲方可解除合同，不承担任何责任。甲方预付的合同款项供应商应予退还。</w:t>
      </w:r>
    </w:p>
    <w:p w14:paraId="0C5A22D2">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6.2结算方式：银行转账。</w:t>
      </w:r>
    </w:p>
    <w:p w14:paraId="764AD7F2">
      <w:pPr>
        <w:spacing w:line="500" w:lineRule="exact"/>
        <w:ind w:firstLine="560" w:firstLineChars="200"/>
        <w:rPr>
          <w:rFonts w:ascii="仿宋" w:hAnsi="仿宋" w:eastAsia="仿宋" w:cs="仿宋"/>
          <w:color w:val="auto"/>
          <w:sz w:val="28"/>
          <w:szCs w:val="28"/>
          <w:lang w:val="zh-TW"/>
        </w:rPr>
      </w:pPr>
      <w:r>
        <w:rPr>
          <w:rFonts w:hint="eastAsia" w:ascii="仿宋" w:hAnsi="仿宋" w:eastAsia="仿宋" w:cs="仿宋"/>
          <w:color w:val="auto"/>
          <w:sz w:val="28"/>
          <w:szCs w:val="28"/>
        </w:rPr>
        <w:t>乙方</w:t>
      </w:r>
      <w:r>
        <w:rPr>
          <w:rFonts w:hint="eastAsia" w:ascii="仿宋" w:hAnsi="仿宋" w:eastAsia="仿宋" w:cs="仿宋"/>
          <w:color w:val="auto"/>
          <w:sz w:val="28"/>
          <w:szCs w:val="28"/>
          <w:lang w:val="zh-TW"/>
        </w:rPr>
        <w:t>对</w:t>
      </w:r>
      <w:r>
        <w:rPr>
          <w:rFonts w:hint="eastAsia" w:ascii="仿宋" w:hAnsi="仿宋" w:eastAsia="仿宋" w:cs="仿宋"/>
          <w:color w:val="auto"/>
          <w:sz w:val="28"/>
          <w:szCs w:val="28"/>
        </w:rPr>
        <w:t>其</w:t>
      </w:r>
      <w:r>
        <w:rPr>
          <w:rFonts w:hint="eastAsia" w:ascii="仿宋" w:hAnsi="仿宋" w:eastAsia="仿宋" w:cs="仿宋"/>
          <w:color w:val="auto"/>
          <w:sz w:val="28"/>
          <w:szCs w:val="28"/>
          <w:lang w:val="zh-TW"/>
        </w:rPr>
        <w:t>账户信息的准确性和可用性承担全部责任，若</w:t>
      </w:r>
      <w:r>
        <w:rPr>
          <w:rFonts w:hint="eastAsia" w:ascii="仿宋" w:hAnsi="仿宋" w:eastAsia="仿宋" w:cs="仿宋"/>
          <w:color w:val="auto"/>
          <w:sz w:val="28"/>
          <w:szCs w:val="28"/>
        </w:rPr>
        <w:t>其提供的</w:t>
      </w:r>
      <w:r>
        <w:rPr>
          <w:rFonts w:hint="eastAsia" w:ascii="仿宋" w:hAnsi="仿宋" w:eastAsia="仿宋" w:cs="仿宋"/>
          <w:color w:val="auto"/>
          <w:sz w:val="28"/>
          <w:szCs w:val="28"/>
          <w:lang w:val="zh-TW"/>
        </w:rPr>
        <w:t>账户信息发生任何变化，乙方应提前</w:t>
      </w:r>
      <w:r>
        <w:rPr>
          <w:rFonts w:hint="eastAsia" w:ascii="仿宋" w:hAnsi="仿宋" w:eastAsia="仿宋" w:cs="仿宋"/>
          <w:color w:val="auto"/>
          <w:sz w:val="28"/>
          <w:szCs w:val="28"/>
          <w:lang w:val="zh-TW" w:eastAsia="zh-TW"/>
        </w:rPr>
        <w:t>5</w:t>
      </w:r>
      <w:r>
        <w:rPr>
          <w:rFonts w:hint="eastAsia" w:ascii="仿宋" w:hAnsi="仿宋" w:eastAsia="仿宋" w:cs="仿宋"/>
          <w:color w:val="auto"/>
          <w:sz w:val="28"/>
          <w:szCs w:val="28"/>
          <w:lang w:val="zh-TW"/>
        </w:rPr>
        <w:t>个工作日书面通知甲方，否则甲方不对成交供应商未能收到或迟延收到任何款项承担责任。</w:t>
      </w:r>
    </w:p>
    <w:p w14:paraId="1C978983">
      <w:pPr>
        <w:snapToGrid/>
        <w:spacing w:line="500" w:lineRule="exact"/>
        <w:ind w:firstLine="560" w:firstLineChars="200"/>
        <w:rPr>
          <w:rFonts w:ascii="仿宋" w:hAnsi="仿宋" w:eastAsia="仿宋" w:cs="仿宋"/>
          <w:bCs w:val="0"/>
          <w:color w:val="auto"/>
          <w:sz w:val="28"/>
          <w:szCs w:val="28"/>
          <w:lang w:val="zh-TW"/>
        </w:rPr>
      </w:pPr>
      <w:r>
        <w:rPr>
          <w:rFonts w:hint="eastAsia" w:ascii="仿宋" w:hAnsi="仿宋" w:eastAsia="仿宋" w:cs="仿宋"/>
          <w:bCs w:val="0"/>
          <w:color w:val="auto"/>
          <w:sz w:val="28"/>
          <w:szCs w:val="28"/>
          <w:lang w:val="zh-TW"/>
        </w:rPr>
        <w:t>乙方指定收款账号：</w:t>
      </w:r>
    </w:p>
    <w:p w14:paraId="3960A0BE">
      <w:pPr>
        <w:snapToGrid/>
        <w:spacing w:line="500" w:lineRule="exact"/>
        <w:ind w:firstLine="560" w:firstLineChars="200"/>
        <w:rPr>
          <w:rFonts w:ascii="仿宋" w:hAnsi="仿宋" w:eastAsia="仿宋" w:cs="仿宋"/>
          <w:bCs w:val="0"/>
          <w:color w:val="auto"/>
          <w:sz w:val="28"/>
          <w:szCs w:val="28"/>
          <w:lang w:val="zh-TW"/>
        </w:rPr>
      </w:pPr>
      <w:r>
        <w:rPr>
          <w:rFonts w:hint="eastAsia" w:ascii="仿宋" w:hAnsi="仿宋" w:eastAsia="仿宋" w:cs="仿宋"/>
          <w:bCs w:val="0"/>
          <w:color w:val="auto"/>
          <w:sz w:val="28"/>
          <w:szCs w:val="28"/>
          <w:lang w:val="zh-TW"/>
        </w:rPr>
        <w:t>户</w:t>
      </w:r>
      <w:r>
        <w:rPr>
          <w:rFonts w:ascii="仿宋" w:hAnsi="仿宋" w:eastAsia="仿宋" w:cs="仿宋"/>
          <w:bCs w:val="0"/>
          <w:color w:val="auto"/>
          <w:sz w:val="28"/>
          <w:szCs w:val="28"/>
          <w:lang w:val="zh-TW"/>
        </w:rPr>
        <w:t xml:space="preserve">  </w:t>
      </w:r>
      <w:r>
        <w:rPr>
          <w:rFonts w:hint="eastAsia" w:ascii="仿宋" w:hAnsi="仿宋" w:eastAsia="仿宋" w:cs="仿宋"/>
          <w:bCs w:val="0"/>
          <w:color w:val="auto"/>
          <w:sz w:val="28"/>
          <w:szCs w:val="28"/>
          <w:lang w:val="zh-TW"/>
        </w:rPr>
        <w:t>名：</w:t>
      </w:r>
    </w:p>
    <w:p w14:paraId="0EFE3484">
      <w:pPr>
        <w:snapToGrid/>
        <w:spacing w:line="500" w:lineRule="exact"/>
        <w:ind w:firstLine="560" w:firstLineChars="200"/>
        <w:rPr>
          <w:rFonts w:ascii="仿宋" w:hAnsi="仿宋" w:eastAsia="仿宋" w:cs="仿宋"/>
          <w:bCs w:val="0"/>
          <w:color w:val="auto"/>
          <w:sz w:val="28"/>
          <w:szCs w:val="28"/>
          <w:lang w:val="zh-TW"/>
        </w:rPr>
      </w:pPr>
      <w:r>
        <w:rPr>
          <w:rFonts w:hint="eastAsia" w:ascii="仿宋" w:hAnsi="仿宋" w:eastAsia="仿宋" w:cs="仿宋"/>
          <w:bCs w:val="0"/>
          <w:color w:val="auto"/>
          <w:sz w:val="28"/>
          <w:szCs w:val="28"/>
          <w:lang w:val="zh-TW"/>
        </w:rPr>
        <w:t>账</w:t>
      </w:r>
      <w:r>
        <w:rPr>
          <w:rFonts w:ascii="仿宋" w:hAnsi="仿宋" w:eastAsia="仿宋" w:cs="仿宋"/>
          <w:bCs w:val="0"/>
          <w:color w:val="auto"/>
          <w:sz w:val="28"/>
          <w:szCs w:val="28"/>
          <w:lang w:val="zh-TW"/>
        </w:rPr>
        <w:t xml:space="preserve">  </w:t>
      </w:r>
      <w:r>
        <w:rPr>
          <w:rFonts w:hint="eastAsia" w:ascii="仿宋" w:hAnsi="仿宋" w:eastAsia="仿宋" w:cs="仿宋"/>
          <w:bCs w:val="0"/>
          <w:color w:val="auto"/>
          <w:sz w:val="28"/>
          <w:szCs w:val="28"/>
          <w:lang w:val="zh-TW"/>
        </w:rPr>
        <w:t>号：</w:t>
      </w:r>
    </w:p>
    <w:p w14:paraId="269B9852">
      <w:pPr>
        <w:spacing w:line="500" w:lineRule="exact"/>
        <w:ind w:firstLine="560" w:firstLineChars="200"/>
        <w:rPr>
          <w:rFonts w:ascii="仿宋" w:hAnsi="仿宋" w:eastAsia="仿宋" w:cs="仿宋"/>
          <w:color w:val="auto"/>
          <w:sz w:val="28"/>
          <w:szCs w:val="28"/>
          <w:lang w:val="zh-TW"/>
        </w:rPr>
      </w:pPr>
      <w:r>
        <w:rPr>
          <w:rFonts w:hint="eastAsia" w:ascii="仿宋" w:hAnsi="仿宋" w:eastAsia="仿宋" w:cs="仿宋"/>
          <w:bCs w:val="0"/>
          <w:color w:val="auto"/>
          <w:sz w:val="28"/>
          <w:szCs w:val="28"/>
          <w:lang w:val="zh-TW"/>
        </w:rPr>
        <w:t>开户行：</w:t>
      </w:r>
    </w:p>
    <w:p w14:paraId="2B3708AF">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7.服务变更</w:t>
      </w:r>
    </w:p>
    <w:p w14:paraId="3ECDAA49">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合同一经签订，不得擅自变更、中止或者终止合同。对确需变更、调整或者中止、终止合同的，经甲方同意后，应按规定办理相应的变更、调整审批手续，并协商确定变更调整后的服务价款计算方法和服务期顺延等事宜。</w:t>
      </w:r>
    </w:p>
    <w:p w14:paraId="406C45B4">
      <w:pPr>
        <w:widowControl/>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8.验收</w:t>
      </w:r>
    </w:p>
    <w:p w14:paraId="307EA5F1">
      <w:pPr>
        <w:widowControl/>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项目结束后须在60日内完成验收。乙方提供《××政府采购项目绩效目标表》（附件1）及书面申请提请验收，按照甲方要求提供验收所需全部资料，包括但不限于招标阶段、实施阶段（资质、质量、安全、进度、配置、效能、应急）、日常运行维护阶段、测试实施质量（涉及到新增功能接口的）、网络安全、运维验收报告等资料，由甲方组织项目验收。验收合格须交接项目实施的全部资料。</w:t>
      </w:r>
    </w:p>
    <w:p w14:paraId="7BB55200">
      <w:pPr>
        <w:widowControl/>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验收须以合同及附件文本、补充协议（如有）、《陕西省交通运输信息化管理办法》、国家相应的标准、规范等为依据。乙方需按甲方要求配合验收工作，验收时长以甲方工作进度为准；乙方应按甲方要求做好项目验收等相关资料的准备工作，并做好会务工作。验收合格须交接项目实施的全部资料。</w:t>
      </w:r>
    </w:p>
    <w:p w14:paraId="27AB41B9">
      <w:pPr>
        <w:widowControl/>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项目验收不合格，由乙方返工直至合格，但返工期限不得超过自甲方向乙方提出验收不合格之日起45个自然日，有关返工、再行验收，以及给甲方造成的损失等费用由乙方承担。若乙方未能在上述限期整改期届满前使项目最终验收合格，则视为乙方根本性违约。在此情形下，甲方有权立即单方书面通知乙方终止本合同；乙方除应返还甲方就该未合格项目已支付的全部合同价款外，还应赔偿甲方由此遭受的全部直接经济损失及合理可预见的间接损失，包括但不限于项目延期损失、另行委托之额外费用等。</w:t>
      </w:r>
    </w:p>
    <w:p w14:paraId="22CBCE77">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9.信息安全要求</w:t>
      </w:r>
    </w:p>
    <w:p w14:paraId="5A1FA988">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乙方须根据国家相关规定，完成信息系统安全等级保护备案、测评等相关工作，并提交备案证明，测评机构需具备国家认可的资质。乙方要经常检查和评估所有信息安全防护系统及相关制度规范的有效性，要有严格的运维管理制度并严格按照执行，要定期进行安全保密教育和培训，移动介质管理办法要切实可行。另外，乙方须配合甲方做好网络安全应急事件处置、定期做好漏洞修复等管理维护工作。</w:t>
      </w:r>
    </w:p>
    <w:p w14:paraId="50D82758">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按照国家、省级相关规定，配合甲方做好相关软件的国产化适配，如操作系统、数据库、中间件、云平台迁移等。</w:t>
      </w:r>
    </w:p>
    <w:p w14:paraId="5A1C30CD">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10.不可抗力</w:t>
      </w:r>
    </w:p>
    <w:p w14:paraId="1F2C8CFA">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10.1合同任一方由于受诸如洪水、地震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14:paraId="3269B666">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10.2遭受不可抗力一方应在不可抗力事故发生后尽快以书面形式通知对方，并于事故发生后14天内将有关部门出具的证明文件、详细情况报告以及不可抗力对履行合同影响程度的说明通知对方。</w:t>
      </w:r>
    </w:p>
    <w:p w14:paraId="6A95476E">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10.3发生不可抗力时，任何一方均不对因不可抗力无法履行或延迟履行本合同义务而使另一方蒙受损失承担责任，但遭受不可抗力一方有责任尽可能及时采取适当或必要措施减少或消除不可抗力的影响。遭受不可抗力的一方对因未尽本项义务而造成的损失承担赔偿责任。</w:t>
      </w:r>
    </w:p>
    <w:p w14:paraId="0F458B81">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10.4一旦不可抗力事故的影响持续120天以上，甲乙双方通过友好协商，在合理的时间内达成进一步履行合同或终止合同的协议。</w:t>
      </w:r>
    </w:p>
    <w:p w14:paraId="65D6BA57">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10.5因甲方内部或上级单位政策调整等非甲方过失原因，导致本合同无法继续履行的，甲方有权与乙方解除合同。</w:t>
      </w:r>
    </w:p>
    <w:p w14:paraId="7F75DB14">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11.违约责任</w:t>
      </w:r>
    </w:p>
    <w:p w14:paraId="1F4EAB29">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11.1依据《中华人民共和国民法典》《中华人民共和国政府采购法》《中华人民共和国政府采购法实施条例》的相关条款规定和本合同约定，乙方未全面履行合同义务或者发生违约，自逾期之日起按合同总价的万分之五每日计算逾期违约金；若乙方迟延履行连续超过15日或累计超过30日，甲方有权终止合同，乙方应返还甲方已支付价款，并承担合同总价30%的违约金，造成甲方损失的应当赔偿，并报请有关监督管理机关依法进行相应的行政处罚。</w:t>
      </w:r>
    </w:p>
    <w:p w14:paraId="2BDDA0B4">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11.2如因乙方工作人员在履行职务过程中的疏忽、失职、过错等故意或者过失原因给甲方造成损失或侵害，包括但不限于甲方本身的财产损失、由此而导致的甲方对任何第三方的法律责任等，乙方对此均应承担全部的赔偿责任。同时，甲方有权解除合同，乙方应返还甲方支付的合同价款，并承担合同价款30%的违约金，造成损失的应当赔偿。</w:t>
      </w:r>
    </w:p>
    <w:p w14:paraId="099F1B01">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11.3若乙方未按照合同约定履行或者履行合同不符合甲方要求的，甲方有权要求乙方在7日内完成整改；整改后仍不符合合同要求的，甲方有权解除合同，乙方应返还甲方已支付的合同价款，并承担合同价款30%的违约金，造成损失的应当赔偿。</w:t>
      </w:r>
    </w:p>
    <w:p w14:paraId="2366A987">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11.4乙方应保证所提供的服务或其任何一部分均不会侵犯任何第三方的专利权、商标权或著作权。若因此造成的任何纠纷均由乙方承担责任，包括但不限于甲方因此产生的诉讼费、律师费、损害赔偿等。</w:t>
      </w:r>
    </w:p>
    <w:p w14:paraId="3334DD1B">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11.5如果出现政府采购监督管理部门在处理投诉事项期间，书面通知甲方暂停采购活动的情形，或者询问或质疑事项可能影响成交结果的，导致甲方中止履行合同的情形，均不视为甲方违约。</w:t>
      </w:r>
    </w:p>
    <w:p w14:paraId="5D769E70">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11.6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bookmarkEnd w:id="3"/>
    <w:p w14:paraId="5808A86D">
      <w:pPr>
        <w:pStyle w:val="3"/>
        <w:spacing w:line="500" w:lineRule="exact"/>
        <w:ind w:firstLine="560" w:firstLineChars="200"/>
        <w:rPr>
          <w:rFonts w:hint="default" w:ascii="仿宋" w:hAnsi="仿宋" w:cs="仿宋"/>
          <w:color w:val="auto"/>
          <w:sz w:val="28"/>
          <w:szCs w:val="28"/>
        </w:rPr>
      </w:pPr>
      <w:r>
        <w:rPr>
          <w:rFonts w:ascii="仿宋" w:hAnsi="仿宋" w:cs="仿宋"/>
          <w:color w:val="auto"/>
          <w:kern w:val="2"/>
          <w:sz w:val="28"/>
          <w:szCs w:val="28"/>
        </w:rPr>
        <w:t>11.7在本合同项下各方义务均履行完毕前，如乙方出现以下任一情形的，甲方有权在任何时候向乙方通知终止和/或解除本合同：</w:t>
      </w:r>
    </w:p>
    <w:p w14:paraId="1FA2AA70">
      <w:pPr>
        <w:pStyle w:val="3"/>
        <w:spacing w:line="500" w:lineRule="exact"/>
        <w:ind w:firstLine="560" w:firstLineChars="200"/>
        <w:rPr>
          <w:rFonts w:hint="default" w:ascii="仿宋" w:hAnsi="仿宋" w:cs="仿宋"/>
          <w:color w:val="auto"/>
          <w:kern w:val="2"/>
          <w:sz w:val="28"/>
          <w:szCs w:val="28"/>
        </w:rPr>
      </w:pPr>
      <w:r>
        <w:rPr>
          <w:rFonts w:ascii="仿宋" w:hAnsi="仿宋" w:cs="仿宋"/>
          <w:color w:val="auto"/>
          <w:kern w:val="2"/>
          <w:sz w:val="28"/>
          <w:szCs w:val="28"/>
        </w:rPr>
        <w:t>（1）乙方被解散；</w:t>
      </w:r>
    </w:p>
    <w:p w14:paraId="549A6306">
      <w:pPr>
        <w:pStyle w:val="3"/>
        <w:spacing w:line="500" w:lineRule="exact"/>
        <w:ind w:firstLine="560" w:firstLineChars="200"/>
        <w:rPr>
          <w:rFonts w:hint="default" w:ascii="仿宋" w:hAnsi="仿宋" w:cs="仿宋"/>
          <w:color w:val="auto"/>
          <w:kern w:val="2"/>
          <w:sz w:val="28"/>
          <w:szCs w:val="28"/>
        </w:rPr>
      </w:pPr>
      <w:r>
        <w:rPr>
          <w:rFonts w:ascii="仿宋" w:hAnsi="仿宋" w:cs="仿宋"/>
          <w:color w:val="auto"/>
          <w:kern w:val="2"/>
          <w:sz w:val="28"/>
          <w:szCs w:val="28"/>
        </w:rPr>
        <w:t>（2）乙方经人民法院裁定受理破产申请（包括破产清算申请、和解申请或重整申请）的；</w:t>
      </w:r>
    </w:p>
    <w:p w14:paraId="00E61C95">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乙方无能力清偿到期债务的。甲方依据前款约定通知乙方终止和/或解除本合同的，甲方除依据法律规定及本合同其他条款约定享有的权利外，还有权向乙方主张损失赔偿、扣留或抵扣保证金、返还已付款项等。该合同的终止和/或解除将不损害或影响甲方已经采取或将要采取的任何行动或补救措施的权利。</w:t>
      </w:r>
    </w:p>
    <w:p w14:paraId="389AD83D">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12.履行瑕疵</w:t>
      </w:r>
    </w:p>
    <w:p w14:paraId="6A82D781">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在合同履行过程中，如果乙方遇到不能按时提供服务或履行合同义务有瑕疵的情况，应及时以书面形式将不能正常提供服务的理由、预期延误时间通知甲方；甲方收到乙方通知后，认为其理由正当的，可以书面形式酌情同意乙方可以延长履行的具体时间；认为理由不正当的有权解除合同，引入第三方提供服务，乙方应退还甲方已付服务费并承担甲方因引入第三方继续提供服务给甲方造成的直接和间接损失。</w:t>
      </w:r>
    </w:p>
    <w:p w14:paraId="292A7771">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如果乙方履行义务存在瑕疵却未及时书面通知甲方或隐瞒事实，甲方有权立即解除合同，并要求乙方承担所有损失.乙方未履行通知义务不影响甲方自行判断乙方履行情况并行使合同解除权等相关权利。</w:t>
      </w:r>
    </w:p>
    <w:p w14:paraId="6E5B4A60">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13.合同文本与份数</w:t>
      </w:r>
    </w:p>
    <w:p w14:paraId="7C42D54F">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本合同用中文书写。本合同一式捌份，甲方执肆份，乙方执贰份，陕西省财政厅政府采购管理处备案 壹 份，采购代理机构执壹份，所有合同均具有相同的法律效力。</w:t>
      </w:r>
    </w:p>
    <w:p w14:paraId="473E9526">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14.合同转让和分包</w:t>
      </w:r>
    </w:p>
    <w:p w14:paraId="670DB65F">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合同的权利义务依法不得转让，不得分包。</w:t>
      </w:r>
    </w:p>
    <w:p w14:paraId="1E2856D9">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15.保密</w:t>
      </w:r>
    </w:p>
    <w:p w14:paraId="0D4F184C">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乙方对于因签署或履行本合同而了解或接触到的甲方的秘密及其他机密资料和信息、采集的数据（以下简称“保密信息”）均应保守秘密，且仅为履行本合同目的而进行使用；非经甲方书面同意，乙方不得向第三方泄露、给予或转让该等保密信息，除非是根据法律法规、行政机关、监管机构要求而需要披露。</w:t>
      </w:r>
    </w:p>
    <w:p w14:paraId="041EBFD3">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16.争议解决方式</w:t>
      </w:r>
    </w:p>
    <w:p w14:paraId="3B1F6016">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双方本着友好合作的态度,对合同履行过程中发生的纠纷应及时协商解决，协商不成的，应向甲方所在地有管辖权的法院提起诉讼。</w:t>
      </w:r>
    </w:p>
    <w:p w14:paraId="4F2FBFCD">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17.本合同自双方法定代表人或授权代表签字并加盖公章之日起生效。本合同未涉事宜双方可协商确定并签订补充协议。补充协议、下列合同附件均为本合同的有效组成部分，与本合同具有同等法律效力。</w:t>
      </w:r>
    </w:p>
    <w:p w14:paraId="4AB626C4">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附件1：《××政府采购项目绩效目标表》</w:t>
      </w:r>
    </w:p>
    <w:p w14:paraId="00520955">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（以下无正文）</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59"/>
      </w:tblGrid>
      <w:tr w14:paraId="69DCE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2500" w:type="pct"/>
            <w:tcBorders>
              <w:top w:val="single" w:color="auto" w:sz="4" w:space="0"/>
              <w:left w:val="single" w:color="auto" w:sz="4" w:space="0"/>
              <w:bottom w:val="single" w:color="auto" w:sz="4" w:space="0"/>
              <w:right w:val="single" w:color="auto" w:sz="4" w:space="0"/>
            </w:tcBorders>
            <w:vAlign w:val="center"/>
          </w:tcPr>
          <w:p w14:paraId="2C7DBBCA">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甲方:（盖章）</w:t>
            </w:r>
          </w:p>
        </w:tc>
        <w:tc>
          <w:tcPr>
            <w:tcW w:w="2499" w:type="pct"/>
            <w:tcBorders>
              <w:top w:val="single" w:color="auto" w:sz="4" w:space="0"/>
              <w:left w:val="single" w:color="auto" w:sz="4" w:space="0"/>
              <w:bottom w:val="single" w:color="auto" w:sz="4" w:space="0"/>
              <w:right w:val="single" w:color="auto" w:sz="4" w:space="0"/>
            </w:tcBorders>
            <w:vAlign w:val="center"/>
          </w:tcPr>
          <w:p w14:paraId="16BAD2A4">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乙方：（盖章）</w:t>
            </w:r>
          </w:p>
        </w:tc>
      </w:tr>
      <w:tr w14:paraId="5CE07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2500" w:type="pct"/>
            <w:tcBorders>
              <w:top w:val="single" w:color="auto" w:sz="4" w:space="0"/>
              <w:left w:val="single" w:color="auto" w:sz="4" w:space="0"/>
              <w:bottom w:val="single" w:color="auto" w:sz="4" w:space="0"/>
              <w:right w:val="single" w:color="auto" w:sz="4" w:space="0"/>
            </w:tcBorders>
            <w:vAlign w:val="center"/>
          </w:tcPr>
          <w:p w14:paraId="16DB6165">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地址：</w:t>
            </w:r>
          </w:p>
        </w:tc>
        <w:tc>
          <w:tcPr>
            <w:tcW w:w="2499" w:type="pct"/>
            <w:tcBorders>
              <w:top w:val="single" w:color="auto" w:sz="4" w:space="0"/>
              <w:left w:val="single" w:color="auto" w:sz="4" w:space="0"/>
              <w:bottom w:val="single" w:color="auto" w:sz="4" w:space="0"/>
              <w:right w:val="single" w:color="auto" w:sz="4" w:space="0"/>
            </w:tcBorders>
            <w:vAlign w:val="center"/>
          </w:tcPr>
          <w:p w14:paraId="63D2257E">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地址：</w:t>
            </w:r>
          </w:p>
        </w:tc>
      </w:tr>
      <w:tr w14:paraId="3737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261" w:type="dxa"/>
            <w:tcBorders>
              <w:top w:val="single" w:color="auto" w:sz="4" w:space="0"/>
              <w:left w:val="single" w:color="auto" w:sz="4" w:space="0"/>
              <w:bottom w:val="single" w:color="auto" w:sz="4" w:space="0"/>
              <w:right w:val="single" w:color="auto" w:sz="4" w:space="0"/>
            </w:tcBorders>
            <w:vAlign w:val="center"/>
          </w:tcPr>
          <w:p w14:paraId="612898FB">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统一社会信用代码：</w:t>
            </w:r>
          </w:p>
        </w:tc>
        <w:tc>
          <w:tcPr>
            <w:tcW w:w="4259" w:type="dxa"/>
            <w:tcBorders>
              <w:top w:val="single" w:color="auto" w:sz="4" w:space="0"/>
              <w:left w:val="single" w:color="auto" w:sz="4" w:space="0"/>
              <w:bottom w:val="single" w:color="auto" w:sz="4" w:space="0"/>
              <w:right w:val="single" w:color="auto" w:sz="4" w:space="0"/>
            </w:tcBorders>
            <w:vAlign w:val="center"/>
          </w:tcPr>
          <w:p w14:paraId="053ACDD0">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统一社会信用代码：</w:t>
            </w:r>
          </w:p>
        </w:tc>
      </w:tr>
      <w:tr w14:paraId="4165B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2500" w:type="pct"/>
            <w:tcBorders>
              <w:top w:val="single" w:color="auto" w:sz="4" w:space="0"/>
              <w:left w:val="single" w:color="auto" w:sz="4" w:space="0"/>
              <w:bottom w:val="single" w:color="auto" w:sz="4" w:space="0"/>
              <w:right w:val="single" w:color="auto" w:sz="4" w:space="0"/>
            </w:tcBorders>
          </w:tcPr>
          <w:p w14:paraId="588F3EA1">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法定代表人（授权代表）：</w:t>
            </w:r>
          </w:p>
          <w:p w14:paraId="44E21628">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 xml:space="preserve"> </w:t>
            </w:r>
          </w:p>
        </w:tc>
        <w:tc>
          <w:tcPr>
            <w:tcW w:w="2499" w:type="pct"/>
            <w:tcBorders>
              <w:top w:val="single" w:color="auto" w:sz="4" w:space="0"/>
              <w:left w:val="single" w:color="auto" w:sz="4" w:space="0"/>
              <w:bottom w:val="single" w:color="auto" w:sz="4" w:space="0"/>
              <w:right w:val="single" w:color="auto" w:sz="4" w:space="0"/>
            </w:tcBorders>
          </w:tcPr>
          <w:p w14:paraId="4FC630F7">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法定代表人（授权代表）：</w:t>
            </w:r>
          </w:p>
        </w:tc>
      </w:tr>
      <w:tr w14:paraId="3FC7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2500" w:type="pct"/>
            <w:tcBorders>
              <w:top w:val="single" w:color="auto" w:sz="4" w:space="0"/>
              <w:left w:val="single" w:color="auto" w:sz="4" w:space="0"/>
              <w:bottom w:val="single" w:color="auto" w:sz="4" w:space="0"/>
              <w:right w:val="single" w:color="auto" w:sz="4" w:space="0"/>
            </w:tcBorders>
            <w:vAlign w:val="center"/>
          </w:tcPr>
          <w:p w14:paraId="3AA3F14D">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电话：</w:t>
            </w:r>
          </w:p>
        </w:tc>
        <w:tc>
          <w:tcPr>
            <w:tcW w:w="2499" w:type="pct"/>
            <w:tcBorders>
              <w:top w:val="single" w:color="auto" w:sz="4" w:space="0"/>
              <w:left w:val="single" w:color="auto" w:sz="4" w:space="0"/>
              <w:bottom w:val="single" w:color="auto" w:sz="4" w:space="0"/>
              <w:right w:val="single" w:color="auto" w:sz="4" w:space="0"/>
            </w:tcBorders>
            <w:vAlign w:val="center"/>
          </w:tcPr>
          <w:p w14:paraId="294F00D3">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电话：</w:t>
            </w:r>
          </w:p>
        </w:tc>
      </w:tr>
      <w:tr w14:paraId="7C792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2500" w:type="pct"/>
            <w:tcBorders>
              <w:top w:val="single" w:color="auto" w:sz="4" w:space="0"/>
              <w:left w:val="single" w:color="auto" w:sz="4" w:space="0"/>
              <w:bottom w:val="single" w:color="auto" w:sz="4" w:space="0"/>
              <w:right w:val="single" w:color="auto" w:sz="4" w:space="0"/>
            </w:tcBorders>
            <w:vAlign w:val="center"/>
          </w:tcPr>
          <w:p w14:paraId="0165831E">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传真：</w:t>
            </w:r>
          </w:p>
        </w:tc>
        <w:tc>
          <w:tcPr>
            <w:tcW w:w="2499" w:type="pct"/>
            <w:tcBorders>
              <w:top w:val="single" w:color="auto" w:sz="4" w:space="0"/>
              <w:left w:val="single" w:color="auto" w:sz="4" w:space="0"/>
              <w:bottom w:val="single" w:color="auto" w:sz="4" w:space="0"/>
              <w:right w:val="single" w:color="auto" w:sz="4" w:space="0"/>
            </w:tcBorders>
            <w:vAlign w:val="center"/>
          </w:tcPr>
          <w:p w14:paraId="73030065">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传真：</w:t>
            </w:r>
          </w:p>
        </w:tc>
      </w:tr>
      <w:tr w14:paraId="6B53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2500" w:type="pct"/>
            <w:tcBorders>
              <w:top w:val="single" w:color="auto" w:sz="4" w:space="0"/>
              <w:left w:val="single" w:color="auto" w:sz="4" w:space="0"/>
              <w:bottom w:val="single" w:color="auto" w:sz="4" w:space="0"/>
              <w:right w:val="single" w:color="auto" w:sz="4" w:space="0"/>
            </w:tcBorders>
            <w:vAlign w:val="center"/>
          </w:tcPr>
          <w:p w14:paraId="737C4059">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开户银行：</w:t>
            </w:r>
          </w:p>
        </w:tc>
        <w:tc>
          <w:tcPr>
            <w:tcW w:w="2499" w:type="pct"/>
            <w:tcBorders>
              <w:top w:val="single" w:color="auto" w:sz="4" w:space="0"/>
              <w:left w:val="single" w:color="auto" w:sz="4" w:space="0"/>
              <w:bottom w:val="single" w:color="auto" w:sz="4" w:space="0"/>
              <w:right w:val="single" w:color="auto" w:sz="4" w:space="0"/>
            </w:tcBorders>
            <w:vAlign w:val="center"/>
          </w:tcPr>
          <w:p w14:paraId="4CB03D62">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开户银行：</w:t>
            </w:r>
          </w:p>
        </w:tc>
      </w:tr>
      <w:tr w14:paraId="7E4DD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2500" w:type="pct"/>
            <w:tcBorders>
              <w:top w:val="single" w:color="auto" w:sz="4" w:space="0"/>
              <w:left w:val="single" w:color="auto" w:sz="4" w:space="0"/>
              <w:bottom w:val="single" w:color="auto" w:sz="4" w:space="0"/>
              <w:right w:val="single" w:color="auto" w:sz="4" w:space="0"/>
            </w:tcBorders>
            <w:vAlign w:val="center"/>
          </w:tcPr>
          <w:p w14:paraId="53D6E069">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账号：</w:t>
            </w:r>
          </w:p>
        </w:tc>
        <w:tc>
          <w:tcPr>
            <w:tcW w:w="2499" w:type="pct"/>
            <w:tcBorders>
              <w:top w:val="single" w:color="auto" w:sz="4" w:space="0"/>
              <w:left w:val="single" w:color="auto" w:sz="4" w:space="0"/>
              <w:bottom w:val="single" w:color="auto" w:sz="4" w:space="0"/>
              <w:right w:val="single" w:color="auto" w:sz="4" w:space="0"/>
            </w:tcBorders>
            <w:vAlign w:val="center"/>
          </w:tcPr>
          <w:p w14:paraId="06CD573B">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账号：</w:t>
            </w:r>
          </w:p>
        </w:tc>
      </w:tr>
      <w:tr w14:paraId="60C5E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2500" w:type="pct"/>
            <w:tcBorders>
              <w:top w:val="single" w:color="auto" w:sz="4" w:space="0"/>
              <w:left w:val="single" w:color="auto" w:sz="4" w:space="0"/>
              <w:bottom w:val="single" w:color="auto" w:sz="4" w:space="0"/>
              <w:right w:val="single" w:color="auto" w:sz="4" w:space="0"/>
            </w:tcBorders>
            <w:vAlign w:val="center"/>
          </w:tcPr>
          <w:p w14:paraId="066AB4FA">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 xml:space="preserve">日期：        </w:t>
            </w:r>
          </w:p>
        </w:tc>
        <w:tc>
          <w:tcPr>
            <w:tcW w:w="2499" w:type="pct"/>
            <w:tcBorders>
              <w:top w:val="single" w:color="auto" w:sz="4" w:space="0"/>
              <w:left w:val="single" w:color="auto" w:sz="4" w:space="0"/>
              <w:bottom w:val="single" w:color="auto" w:sz="4" w:space="0"/>
              <w:right w:val="single" w:color="auto" w:sz="4" w:space="0"/>
            </w:tcBorders>
            <w:vAlign w:val="center"/>
          </w:tcPr>
          <w:p w14:paraId="6852E4D7">
            <w:pPr>
              <w:spacing w:line="360" w:lineRule="auto"/>
              <w:rPr>
                <w:rFonts w:ascii="仿宋" w:hAnsi="仿宋" w:eastAsia="仿宋" w:cs="仿宋"/>
                <w:color w:val="auto"/>
                <w:sz w:val="28"/>
                <w:szCs w:val="28"/>
              </w:rPr>
            </w:pPr>
            <w:r>
              <w:rPr>
                <w:rFonts w:hint="eastAsia" w:ascii="仿宋" w:hAnsi="仿宋" w:eastAsia="仿宋" w:cs="仿宋"/>
                <w:color w:val="auto"/>
                <w:sz w:val="28"/>
                <w:szCs w:val="28"/>
              </w:rPr>
              <w:t xml:space="preserve">日期：        </w:t>
            </w:r>
          </w:p>
        </w:tc>
      </w:tr>
    </w:tbl>
    <w:p w14:paraId="1A5F4340">
      <w:pPr>
        <w:pStyle w:val="12"/>
        <w:ind w:left="1470" w:right="1470"/>
        <w:rPr>
          <w:rFonts w:hint="default" w:ascii="仿宋" w:hAnsi="仿宋" w:eastAsia="仿宋" w:cs="仿宋"/>
          <w:color w:val="auto"/>
          <w:sz w:val="24"/>
          <w:szCs w:val="24"/>
        </w:rPr>
      </w:pPr>
    </w:p>
    <w:p w14:paraId="044E96C0">
      <w:pPr>
        <w:rPr>
          <w:rFonts w:ascii="仿宋" w:hAnsi="仿宋" w:eastAsia="仿宋" w:cs="仿宋"/>
          <w:b/>
          <w:color w:val="auto"/>
          <w:sz w:val="24"/>
        </w:rPr>
      </w:pPr>
      <w:r>
        <w:rPr>
          <w:rFonts w:hint="eastAsia" w:ascii="仿宋" w:hAnsi="仿宋" w:eastAsia="仿宋" w:cs="仿宋"/>
          <w:b/>
          <w:color w:val="auto"/>
          <w:sz w:val="24"/>
        </w:rPr>
        <w:br w:type="page"/>
      </w:r>
    </w:p>
    <w:p w14:paraId="191D3FB1">
      <w:pPr>
        <w:rPr>
          <w:color w:val="auto"/>
        </w:rPr>
      </w:pPr>
    </w:p>
    <w:p w14:paraId="42DEB642">
      <w:pPr>
        <w:jc w:val="center"/>
        <w:rPr>
          <w:rFonts w:ascii="宋体" w:hAnsi="宋体" w:eastAsia="宋体" w:cs="宋体"/>
          <w:color w:val="auto"/>
          <w:sz w:val="24"/>
        </w:rPr>
      </w:pPr>
      <w:r>
        <w:rPr>
          <w:rFonts w:hint="eastAsia" w:ascii="宋体" w:hAnsi="宋体" w:eastAsia="宋体" w:cs="宋体"/>
          <w:color w:val="auto"/>
          <w:sz w:val="24"/>
        </w:rPr>
        <w:t>附件1：××政府采购项目绩效目标表</w:t>
      </w:r>
    </w:p>
    <w:p w14:paraId="30C1B877">
      <w:pPr>
        <w:spacing w:line="440" w:lineRule="exact"/>
        <w:jc w:val="center"/>
        <w:rPr>
          <w:rFonts w:ascii="宋体" w:hAnsi="宋体"/>
          <w:b/>
          <w:color w:val="auto"/>
          <w:sz w:val="44"/>
          <w:szCs w:val="44"/>
        </w:rPr>
      </w:pPr>
    </w:p>
    <w:p w14:paraId="09B785B8">
      <w:pPr>
        <w:spacing w:line="440" w:lineRule="exact"/>
        <w:jc w:val="center"/>
        <w:rPr>
          <w:rFonts w:ascii="宋体" w:hAnsi="宋体" w:eastAsia="宋体" w:cs="宋体"/>
          <w:color w:val="auto"/>
          <w:sz w:val="24"/>
        </w:rPr>
      </w:pPr>
      <w:r>
        <w:rPr>
          <w:rFonts w:hint="eastAsia" w:ascii="宋体" w:hAnsi="宋体" w:eastAsia="宋体" w:cs="宋体"/>
          <w:color w:val="auto"/>
          <w:sz w:val="24"/>
        </w:rPr>
        <w:t>××政府采购项目绩效目标表</w:t>
      </w:r>
    </w:p>
    <w:p w14:paraId="7F956A00">
      <w:pPr>
        <w:spacing w:line="440" w:lineRule="exact"/>
        <w:jc w:val="center"/>
        <w:rPr>
          <w:rFonts w:ascii="宋体" w:hAnsi="宋体" w:eastAsia="宋体" w:cs="宋体"/>
          <w:color w:val="auto"/>
          <w:sz w:val="24"/>
        </w:rPr>
      </w:pPr>
    </w:p>
    <w:tbl>
      <w:tblPr>
        <w:tblStyle w:val="7"/>
        <w:tblW w:w="5000" w:type="pct"/>
        <w:tblInd w:w="0" w:type="dxa"/>
        <w:tblLayout w:type="fixed"/>
        <w:tblCellMar>
          <w:top w:w="0" w:type="dxa"/>
          <w:left w:w="108" w:type="dxa"/>
          <w:bottom w:w="0" w:type="dxa"/>
          <w:right w:w="108" w:type="dxa"/>
        </w:tblCellMar>
      </w:tblPr>
      <w:tblGrid>
        <w:gridCol w:w="1351"/>
        <w:gridCol w:w="2543"/>
        <w:gridCol w:w="1449"/>
        <w:gridCol w:w="1348"/>
        <w:gridCol w:w="1831"/>
      </w:tblGrid>
      <w:tr w14:paraId="3FF2E29E">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95E4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color w:val="auto"/>
                <w:szCs w:val="21"/>
              </w:rPr>
            </w:pPr>
            <w:r>
              <w:rPr>
                <w:rFonts w:hint="eastAsia" w:ascii="宋体" w:hAnsi="宋体" w:eastAsia="宋体" w:cs="宋体"/>
                <w:b/>
                <w:bCs/>
                <w:color w:val="auto"/>
                <w:kern w:val="0"/>
                <w:szCs w:val="21"/>
              </w:rPr>
              <w:t>项目名称</w:t>
            </w:r>
          </w:p>
        </w:tc>
        <w:tc>
          <w:tcPr>
            <w:tcW w:w="420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17F6C">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176A9061">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6A8D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color w:val="auto"/>
                <w:szCs w:val="21"/>
              </w:rPr>
            </w:pPr>
            <w:r>
              <w:rPr>
                <w:rFonts w:hint="eastAsia" w:ascii="宋体" w:hAnsi="宋体" w:eastAsia="宋体" w:cs="宋体"/>
                <w:b/>
                <w:bCs/>
                <w:color w:val="auto"/>
                <w:kern w:val="0"/>
                <w:szCs w:val="21"/>
              </w:rPr>
              <w:t>合同金额（元）</w:t>
            </w:r>
          </w:p>
        </w:tc>
        <w:tc>
          <w:tcPr>
            <w:tcW w:w="420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F80C8">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5EF57A07">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2F9C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color w:val="auto"/>
                <w:szCs w:val="21"/>
              </w:rPr>
            </w:pPr>
            <w:r>
              <w:rPr>
                <w:rFonts w:hint="eastAsia" w:ascii="宋体" w:hAnsi="宋体" w:eastAsia="宋体" w:cs="宋体"/>
                <w:b/>
                <w:bCs/>
                <w:color w:val="auto"/>
                <w:kern w:val="0"/>
                <w:szCs w:val="21"/>
              </w:rPr>
              <w:t>供应商名称</w:t>
            </w:r>
          </w:p>
        </w:tc>
        <w:tc>
          <w:tcPr>
            <w:tcW w:w="420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6ADF1">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7CDBAE0B">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33848">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color w:val="auto"/>
                <w:szCs w:val="21"/>
              </w:rPr>
            </w:pPr>
            <w:r>
              <w:rPr>
                <w:rFonts w:hint="eastAsia" w:ascii="宋体" w:hAnsi="宋体" w:eastAsia="宋体" w:cs="宋体"/>
                <w:b/>
                <w:bCs/>
                <w:color w:val="auto"/>
                <w:kern w:val="0"/>
                <w:szCs w:val="21"/>
              </w:rPr>
              <w:t>指标名称</w:t>
            </w: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E07E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color w:val="auto"/>
                <w:szCs w:val="21"/>
              </w:rPr>
            </w:pPr>
            <w:r>
              <w:rPr>
                <w:rFonts w:hint="eastAsia" w:ascii="宋体" w:hAnsi="宋体" w:eastAsia="宋体" w:cs="宋体"/>
                <w:b/>
                <w:bCs/>
                <w:color w:val="auto"/>
                <w:kern w:val="0"/>
                <w:szCs w:val="21"/>
              </w:rPr>
              <w:t>指标值</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E8CE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color w:val="auto"/>
                <w:szCs w:val="21"/>
              </w:rPr>
            </w:pPr>
            <w:r>
              <w:rPr>
                <w:rFonts w:hint="eastAsia" w:ascii="宋体" w:hAnsi="宋体" w:eastAsia="宋体" w:cs="宋体"/>
                <w:b/>
                <w:bCs/>
                <w:color w:val="auto"/>
                <w:kern w:val="0"/>
                <w:szCs w:val="21"/>
              </w:rPr>
              <w:t>年度指标值（合同要求）</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4B2B4">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bCs/>
                <w:color w:val="auto"/>
                <w:szCs w:val="21"/>
              </w:rPr>
            </w:pPr>
            <w:r>
              <w:rPr>
                <w:rFonts w:hint="eastAsia" w:ascii="宋体" w:hAnsi="宋体" w:eastAsia="宋体" w:cs="宋体"/>
                <w:b/>
                <w:bCs/>
                <w:color w:val="auto"/>
                <w:kern w:val="0"/>
                <w:szCs w:val="21"/>
              </w:rPr>
              <w:t>实际完成值</w:t>
            </w: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8F99E">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bCs/>
                <w:color w:val="auto"/>
                <w:szCs w:val="21"/>
              </w:rPr>
            </w:pPr>
            <w:r>
              <w:rPr>
                <w:rFonts w:hint="eastAsia" w:ascii="宋体" w:hAnsi="宋体" w:eastAsia="宋体" w:cs="宋体"/>
                <w:b/>
                <w:bCs/>
                <w:color w:val="auto"/>
                <w:kern w:val="0"/>
                <w:szCs w:val="21"/>
              </w:rPr>
              <w:t>偏差原因分析及改进措施</w:t>
            </w:r>
          </w:p>
        </w:tc>
      </w:tr>
      <w:tr w14:paraId="27A92164">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8A3CA">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数量指标</w:t>
            </w: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A4A50">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Cs w:val="21"/>
              </w:rPr>
            </w:pPr>
            <w:r>
              <w:rPr>
                <w:rFonts w:hint="eastAsia" w:ascii="宋体" w:hAnsi="宋体" w:eastAsia="宋体" w:cs="宋体"/>
                <w:color w:val="auto"/>
                <w:kern w:val="0"/>
                <w:szCs w:val="21"/>
              </w:rPr>
              <w:t>供货\服务完成数量\内容</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948AB">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按合同约定</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075C0">
            <w:pPr>
              <w:keepNext w:val="0"/>
              <w:keepLines w:val="0"/>
              <w:suppressLineNumbers w:val="0"/>
              <w:spacing w:before="0" w:beforeAutospacing="0" w:after="0" w:afterAutospacing="0"/>
              <w:ind w:left="0" w:right="0"/>
              <w:rPr>
                <w:rFonts w:hint="default" w:ascii="宋体" w:hAnsi="宋体" w:eastAsia="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918BC">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2A3135FD">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DE697">
            <w:pPr>
              <w:keepNext w:val="0"/>
              <w:keepLines w:val="0"/>
              <w:suppressLineNumbers w:val="0"/>
              <w:spacing w:before="0" w:beforeAutospacing="0" w:after="0" w:afterAutospacing="0"/>
              <w:ind w:left="0" w:right="0"/>
              <w:jc w:val="center"/>
              <w:rPr>
                <w:rFonts w:hint="default" w:ascii="宋体" w:hAnsi="宋体" w:eastAsia="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F91D9">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Cs w:val="21"/>
              </w:rPr>
            </w:pPr>
            <w:r>
              <w:rPr>
                <w:rFonts w:hint="eastAsia" w:ascii="宋体" w:hAnsi="宋体" w:eastAsia="宋体" w:cs="宋体"/>
                <w:color w:val="auto"/>
                <w:kern w:val="0"/>
                <w:szCs w:val="21"/>
              </w:rPr>
              <w:t>交付频次/批次</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55692">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按合同约定</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B544F">
            <w:pPr>
              <w:keepNext w:val="0"/>
              <w:keepLines w:val="0"/>
              <w:suppressLineNumbers w:val="0"/>
              <w:spacing w:before="0" w:beforeAutospacing="0" w:after="0" w:afterAutospacing="0"/>
              <w:ind w:left="0" w:right="0"/>
              <w:rPr>
                <w:rFonts w:hint="default" w:ascii="宋体" w:hAnsi="宋体" w:eastAsia="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5598F">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2452151E">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AE4C8">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质量指标</w:t>
            </w: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2D343">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Cs w:val="21"/>
              </w:rPr>
            </w:pPr>
            <w:r>
              <w:rPr>
                <w:rFonts w:hint="eastAsia" w:ascii="宋体" w:hAnsi="宋体" w:eastAsia="宋体" w:cs="宋体"/>
                <w:color w:val="auto"/>
                <w:kern w:val="0"/>
                <w:szCs w:val="21"/>
              </w:rPr>
              <w:t>货物\服务质量合格率</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22F00">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≧98%</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22961">
            <w:pPr>
              <w:keepNext w:val="0"/>
              <w:keepLines w:val="0"/>
              <w:suppressLineNumbers w:val="0"/>
              <w:spacing w:before="0" w:beforeAutospacing="0" w:after="0" w:afterAutospacing="0"/>
              <w:ind w:left="0" w:right="0"/>
              <w:rPr>
                <w:rFonts w:hint="default" w:ascii="宋体" w:hAnsi="宋体" w:eastAsia="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00094">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2FBEFF1D">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A4165">
            <w:pPr>
              <w:keepNext w:val="0"/>
              <w:keepLines w:val="0"/>
              <w:suppressLineNumbers w:val="0"/>
              <w:spacing w:before="0" w:beforeAutospacing="0" w:after="0" w:afterAutospacing="0"/>
              <w:ind w:left="0" w:right="0"/>
              <w:jc w:val="center"/>
              <w:rPr>
                <w:rFonts w:hint="default" w:ascii="宋体" w:hAnsi="宋体" w:eastAsia="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22359">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Cs w:val="21"/>
              </w:rPr>
            </w:pPr>
            <w:r>
              <w:rPr>
                <w:rFonts w:hint="eastAsia" w:ascii="宋体" w:hAnsi="宋体" w:eastAsia="宋体" w:cs="宋体"/>
                <w:color w:val="auto"/>
                <w:kern w:val="0"/>
                <w:szCs w:val="21"/>
              </w:rPr>
              <w:t>验收通过率</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922E8">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100%</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B3F19">
            <w:pPr>
              <w:keepNext w:val="0"/>
              <w:keepLines w:val="0"/>
              <w:suppressLineNumbers w:val="0"/>
              <w:spacing w:before="0" w:beforeAutospacing="0" w:after="0" w:afterAutospacing="0"/>
              <w:ind w:left="0" w:right="0"/>
              <w:rPr>
                <w:rFonts w:hint="default" w:ascii="宋体" w:hAnsi="宋体" w:eastAsia="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A06AD">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3BB10B88">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FBC00">
            <w:pPr>
              <w:keepNext w:val="0"/>
              <w:keepLines w:val="0"/>
              <w:suppressLineNumbers w:val="0"/>
              <w:spacing w:before="0" w:beforeAutospacing="0" w:after="0" w:afterAutospacing="0"/>
              <w:ind w:left="0" w:right="0"/>
              <w:jc w:val="center"/>
              <w:rPr>
                <w:rFonts w:hint="default" w:ascii="宋体" w:hAnsi="宋体" w:eastAsia="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BCA9B">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Cs w:val="21"/>
              </w:rPr>
            </w:pPr>
            <w:r>
              <w:rPr>
                <w:rFonts w:hint="eastAsia" w:ascii="宋体" w:hAnsi="宋体" w:eastAsia="宋体" w:cs="宋体"/>
                <w:color w:val="auto"/>
                <w:kern w:val="0"/>
                <w:szCs w:val="21"/>
              </w:rPr>
              <w:t>质量缺陷率</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67A60">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Style w:val="13"/>
                <w:rFonts w:hint="default"/>
                <w:color w:val="auto"/>
                <w:sz w:val="21"/>
                <w:szCs w:val="21"/>
              </w:rPr>
              <w:t>≤1</w:t>
            </w:r>
            <w:r>
              <w:rPr>
                <w:rStyle w:val="14"/>
                <w:rFonts w:hint="default"/>
                <w:color w:val="auto"/>
                <w:sz w:val="21"/>
                <w:szCs w:val="21"/>
              </w:rPr>
              <w:t>%</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4B163">
            <w:pPr>
              <w:keepNext w:val="0"/>
              <w:keepLines w:val="0"/>
              <w:suppressLineNumbers w:val="0"/>
              <w:spacing w:before="0" w:beforeAutospacing="0" w:after="0" w:afterAutospacing="0"/>
              <w:ind w:left="0" w:right="0"/>
              <w:rPr>
                <w:rFonts w:hint="default" w:ascii="宋体" w:hAnsi="宋体" w:eastAsia="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05D7C">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4B174BD6">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67E3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时效指标</w:t>
            </w: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29F1A">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Cs w:val="21"/>
              </w:rPr>
            </w:pPr>
            <w:r>
              <w:rPr>
                <w:rFonts w:hint="eastAsia" w:ascii="宋体" w:hAnsi="宋体" w:eastAsia="宋体" w:cs="宋体"/>
                <w:color w:val="auto"/>
                <w:kern w:val="0"/>
                <w:szCs w:val="21"/>
              </w:rPr>
              <w:t>按时交付率</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C0703">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100%</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36E36">
            <w:pPr>
              <w:keepNext w:val="0"/>
              <w:keepLines w:val="0"/>
              <w:suppressLineNumbers w:val="0"/>
              <w:spacing w:before="0" w:beforeAutospacing="0" w:after="0" w:afterAutospacing="0"/>
              <w:ind w:left="0" w:right="0"/>
              <w:rPr>
                <w:rFonts w:hint="default" w:ascii="宋体" w:hAnsi="宋体" w:eastAsia="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86D8C">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5545B815">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42AB3">
            <w:pPr>
              <w:keepNext w:val="0"/>
              <w:keepLines w:val="0"/>
              <w:suppressLineNumbers w:val="0"/>
              <w:spacing w:before="0" w:beforeAutospacing="0" w:after="0" w:afterAutospacing="0"/>
              <w:ind w:left="0" w:right="0"/>
              <w:jc w:val="center"/>
              <w:rPr>
                <w:rFonts w:hint="default" w:ascii="宋体" w:hAnsi="宋体" w:eastAsia="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D6F81">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Cs w:val="21"/>
              </w:rPr>
            </w:pPr>
            <w:r>
              <w:rPr>
                <w:rFonts w:hint="eastAsia" w:ascii="宋体" w:hAnsi="宋体" w:eastAsia="宋体" w:cs="宋体"/>
                <w:color w:val="auto"/>
                <w:kern w:val="0"/>
                <w:szCs w:val="21"/>
              </w:rPr>
              <w:t>响应时间(小时\天)</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F38E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100%</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5102E">
            <w:pPr>
              <w:keepNext w:val="0"/>
              <w:keepLines w:val="0"/>
              <w:suppressLineNumbers w:val="0"/>
              <w:spacing w:before="0" w:beforeAutospacing="0" w:after="0" w:afterAutospacing="0"/>
              <w:ind w:left="0" w:right="0"/>
              <w:rPr>
                <w:rFonts w:hint="default" w:ascii="宋体" w:hAnsi="宋体" w:eastAsia="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1EA6C">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01B72248">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F6EC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成本指标</w:t>
            </w: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0CAD8">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Cs w:val="21"/>
              </w:rPr>
            </w:pPr>
            <w:r>
              <w:rPr>
                <w:rFonts w:hint="eastAsia" w:ascii="宋体" w:hAnsi="宋体" w:eastAsia="宋体" w:cs="宋体"/>
                <w:color w:val="auto"/>
                <w:kern w:val="0"/>
                <w:szCs w:val="21"/>
              </w:rPr>
              <w:t>合同履约成本控制率</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727E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100%</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1FF5D">
            <w:pPr>
              <w:keepNext w:val="0"/>
              <w:keepLines w:val="0"/>
              <w:suppressLineNumbers w:val="0"/>
              <w:spacing w:before="0" w:beforeAutospacing="0" w:after="0" w:afterAutospacing="0"/>
              <w:ind w:left="0" w:right="0"/>
              <w:rPr>
                <w:rFonts w:hint="default" w:ascii="宋体" w:hAnsi="宋体" w:eastAsia="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33EF2">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2B01CAEE">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18B4A">
            <w:pPr>
              <w:keepNext w:val="0"/>
              <w:keepLines w:val="0"/>
              <w:suppressLineNumbers w:val="0"/>
              <w:spacing w:before="0" w:beforeAutospacing="0" w:after="0" w:afterAutospacing="0"/>
              <w:ind w:left="0" w:right="0"/>
              <w:jc w:val="center"/>
              <w:rPr>
                <w:rFonts w:hint="default" w:ascii="宋体" w:hAnsi="宋体" w:eastAsia="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89BC1">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Cs w:val="21"/>
              </w:rPr>
            </w:pPr>
            <w:r>
              <w:rPr>
                <w:rFonts w:hint="eastAsia" w:ascii="宋体" w:hAnsi="宋体" w:eastAsia="宋体" w:cs="宋体"/>
                <w:color w:val="auto"/>
                <w:kern w:val="0"/>
                <w:szCs w:val="21"/>
              </w:rPr>
              <w:t>超预算率</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29D86">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Style w:val="13"/>
                <w:rFonts w:hint="default"/>
                <w:color w:val="auto"/>
                <w:sz w:val="21"/>
                <w:szCs w:val="21"/>
              </w:rPr>
              <w:t>≤0</w:t>
            </w:r>
            <w:r>
              <w:rPr>
                <w:rStyle w:val="14"/>
                <w:rFonts w:hint="default"/>
                <w:color w:val="auto"/>
                <w:sz w:val="21"/>
                <w:szCs w:val="21"/>
              </w:rPr>
              <w:t>%</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F8941">
            <w:pPr>
              <w:keepNext w:val="0"/>
              <w:keepLines w:val="0"/>
              <w:suppressLineNumbers w:val="0"/>
              <w:spacing w:before="0" w:beforeAutospacing="0" w:after="0" w:afterAutospacing="0"/>
              <w:ind w:left="0" w:right="0"/>
              <w:rPr>
                <w:rFonts w:hint="default" w:ascii="宋体" w:hAnsi="宋体" w:eastAsia="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31829">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0F06FB0F">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E231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经济效益指标</w:t>
            </w: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860CE">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Cs w:val="21"/>
              </w:rPr>
            </w:pPr>
            <w:r>
              <w:rPr>
                <w:rFonts w:hint="eastAsia" w:ascii="宋体" w:hAnsi="宋体" w:eastAsia="宋体" w:cs="宋体"/>
                <w:color w:val="auto"/>
                <w:kern w:val="0"/>
                <w:szCs w:val="21"/>
              </w:rPr>
              <w:t>资金使用合规率</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2932D">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合规</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10C51">
            <w:pPr>
              <w:keepNext w:val="0"/>
              <w:keepLines w:val="0"/>
              <w:suppressLineNumbers w:val="0"/>
              <w:spacing w:before="0" w:beforeAutospacing="0" w:after="0" w:afterAutospacing="0"/>
              <w:ind w:left="0" w:right="0"/>
              <w:rPr>
                <w:rFonts w:hint="default" w:ascii="宋体" w:hAnsi="宋体" w:eastAsia="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5B91A">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3482D266">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E583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社会效益指标</w:t>
            </w: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C099F">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Cs w:val="21"/>
              </w:rPr>
            </w:pPr>
            <w:r>
              <w:rPr>
                <w:rFonts w:hint="eastAsia" w:ascii="宋体" w:hAnsi="宋体" w:eastAsia="宋体" w:cs="宋体"/>
                <w:color w:val="auto"/>
                <w:kern w:val="0"/>
                <w:szCs w:val="21"/>
              </w:rPr>
              <w:t>服务保障能力</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6718B">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良好</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79E11">
            <w:pPr>
              <w:keepNext w:val="0"/>
              <w:keepLines w:val="0"/>
              <w:suppressLineNumbers w:val="0"/>
              <w:spacing w:before="0" w:beforeAutospacing="0" w:after="0" w:afterAutospacing="0"/>
              <w:ind w:left="0" w:right="0"/>
              <w:rPr>
                <w:rFonts w:hint="default" w:ascii="宋体" w:hAnsi="宋体" w:eastAsia="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E1CBE">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6A101342">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18465">
            <w:pPr>
              <w:keepNext w:val="0"/>
              <w:keepLines w:val="0"/>
              <w:suppressLineNumbers w:val="0"/>
              <w:spacing w:before="0" w:beforeAutospacing="0" w:after="0" w:afterAutospacing="0"/>
              <w:ind w:left="0" w:right="0"/>
              <w:jc w:val="center"/>
              <w:rPr>
                <w:rFonts w:hint="default" w:ascii="宋体" w:hAnsi="宋体" w:eastAsia="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A9B88">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Cs w:val="21"/>
              </w:rPr>
            </w:pPr>
            <w:r>
              <w:rPr>
                <w:rFonts w:hint="eastAsia" w:ascii="宋体" w:hAnsi="宋体" w:eastAsia="宋体" w:cs="宋体"/>
                <w:color w:val="auto"/>
                <w:kern w:val="0"/>
                <w:szCs w:val="21"/>
              </w:rPr>
              <w:t>对单位工作支撑度</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8A9ED">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良好</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966BB">
            <w:pPr>
              <w:keepNext w:val="0"/>
              <w:keepLines w:val="0"/>
              <w:suppressLineNumbers w:val="0"/>
              <w:spacing w:before="0" w:beforeAutospacing="0" w:after="0" w:afterAutospacing="0"/>
              <w:ind w:left="0" w:right="0"/>
              <w:rPr>
                <w:rFonts w:hint="default" w:ascii="宋体" w:hAnsi="宋体" w:eastAsia="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6A831">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0A45BD2B">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261EC">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可持续影响指标</w:t>
            </w: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CE08D">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Cs w:val="21"/>
              </w:rPr>
            </w:pPr>
            <w:r>
              <w:rPr>
                <w:rFonts w:hint="eastAsia" w:ascii="宋体" w:hAnsi="宋体" w:eastAsia="宋体" w:cs="宋体"/>
                <w:color w:val="auto"/>
                <w:kern w:val="0"/>
                <w:szCs w:val="21"/>
              </w:rPr>
              <w:t>后续服务保障能力</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D6005">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良好</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4AAEB">
            <w:pPr>
              <w:keepNext w:val="0"/>
              <w:keepLines w:val="0"/>
              <w:suppressLineNumbers w:val="0"/>
              <w:spacing w:before="0" w:beforeAutospacing="0" w:after="0" w:afterAutospacing="0"/>
              <w:ind w:left="0" w:right="0"/>
              <w:rPr>
                <w:rFonts w:hint="default" w:ascii="宋体" w:hAnsi="宋体" w:eastAsia="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5C66B">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r w14:paraId="4571B929">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61D8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满意度指标</w:t>
            </w:r>
          </w:p>
        </w:tc>
        <w:tc>
          <w:tcPr>
            <w:tcW w:w="1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2A3DD">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color w:val="auto"/>
                <w:szCs w:val="21"/>
              </w:rPr>
            </w:pPr>
            <w:r>
              <w:rPr>
                <w:rFonts w:hint="eastAsia" w:ascii="宋体" w:hAnsi="宋体" w:eastAsia="宋体" w:cs="宋体"/>
                <w:color w:val="auto"/>
                <w:kern w:val="0"/>
                <w:szCs w:val="21"/>
              </w:rPr>
              <w:t>采购单位满意度</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B5E44">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zCs w:val="21"/>
              </w:rPr>
            </w:pPr>
            <w:r>
              <w:rPr>
                <w:rFonts w:hint="eastAsia" w:ascii="宋体" w:hAnsi="宋体" w:eastAsia="宋体" w:cs="宋体"/>
                <w:color w:val="auto"/>
                <w:kern w:val="0"/>
                <w:szCs w:val="21"/>
              </w:rPr>
              <w:t>≧95%</w:t>
            </w:r>
          </w:p>
        </w:tc>
        <w:tc>
          <w:tcPr>
            <w:tcW w:w="7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115CC">
            <w:pPr>
              <w:keepNext w:val="0"/>
              <w:keepLines w:val="0"/>
              <w:suppressLineNumbers w:val="0"/>
              <w:spacing w:before="0" w:beforeAutospacing="0" w:after="0" w:afterAutospacing="0"/>
              <w:ind w:left="0" w:right="0"/>
              <w:rPr>
                <w:rFonts w:hint="default" w:ascii="宋体" w:hAnsi="宋体" w:eastAsia="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8E0EE">
            <w:pPr>
              <w:keepNext w:val="0"/>
              <w:keepLines w:val="0"/>
              <w:suppressLineNumbers w:val="0"/>
              <w:spacing w:before="0" w:beforeAutospacing="0" w:after="0" w:afterAutospacing="0"/>
              <w:ind w:left="0" w:right="0"/>
              <w:rPr>
                <w:rFonts w:hint="default" w:ascii="宋体" w:hAnsi="宋体" w:eastAsia="宋体" w:cs="宋体"/>
                <w:color w:val="auto"/>
                <w:szCs w:val="21"/>
              </w:rPr>
            </w:pPr>
          </w:p>
        </w:tc>
      </w:tr>
    </w:tbl>
    <w:p w14:paraId="678FECCF">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9C24F8"/>
    <w:rsid w:val="15DA2023"/>
    <w:rsid w:val="2E103160"/>
    <w:rsid w:val="489C2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99"/>
    <w:pPr>
      <w:tabs>
        <w:tab w:val="left" w:pos="5625"/>
      </w:tabs>
      <w:ind w:left="1138" w:leftChars="542"/>
    </w:pPr>
    <w:rPr>
      <w:rFonts w:ascii="Calibri"/>
    </w:rPr>
  </w:style>
  <w:style w:type="paragraph" w:styleId="3">
    <w:name w:val="Body Text"/>
    <w:basedOn w:val="1"/>
    <w:next w:val="1"/>
    <w:qFormat/>
    <w:uiPriority w:val="0"/>
    <w:pPr>
      <w:spacing w:after="120" w:afterLines="0" w:afterAutospacing="0"/>
    </w:pPr>
  </w:style>
  <w:style w:type="paragraph" w:styleId="4">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5">
    <w:name w:val="Body Text 2"/>
    <w:basedOn w:val="1"/>
    <w:qFormat/>
    <w:uiPriority w:val="0"/>
    <w:pPr>
      <w:adjustRightInd w:val="0"/>
      <w:snapToGrid w:val="0"/>
      <w:spacing w:line="480" w:lineRule="atLeast"/>
    </w:pPr>
    <w:rPr>
      <w:rFonts w:ascii="宋体" w:hAnsi="宋体"/>
      <w:sz w:val="28"/>
    </w:rPr>
  </w:style>
  <w:style w:type="paragraph" w:styleId="6">
    <w:name w:val="Normal (Web)"/>
    <w:basedOn w:val="1"/>
    <w:unhideWhenUsed/>
    <w:qFormat/>
    <w:uiPriority w:val="99"/>
    <w:rPr>
      <w:rFonts w:ascii="Times New Roman" w:hAnsi="Times New Roman" w:eastAsia="宋体" w:cs="Times New Roman"/>
      <w:sz w:val="24"/>
      <w:szCs w:val="20"/>
    </w:rPr>
  </w:style>
  <w:style w:type="table" w:styleId="8">
    <w:name w:val="Table Grid"/>
    <w:qFormat/>
    <w:uiPriority w:val="0"/>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unhideWhenUsed/>
    <w:qFormat/>
    <w:uiPriority w:val="99"/>
    <w:rPr>
      <w:rFonts w:hint="eastAsia" w:ascii="宋体" w:hAnsi="宋体" w:eastAsia="宋体" w:cs="宋体"/>
      <w:color w:val="000000"/>
      <w:sz w:val="14"/>
      <w:szCs w:val="14"/>
      <w:u w:val="none"/>
    </w:rPr>
  </w:style>
  <w:style w:type="paragraph" w:customStyle="1" w:styleId="11">
    <w:name w:val="样式 10 磅"/>
    <w:qFormat/>
    <w:uiPriority w:val="0"/>
    <w:pPr>
      <w:widowControl w:val="0"/>
      <w:jc w:val="both"/>
    </w:pPr>
    <w:rPr>
      <w:rFonts w:ascii="等线" w:hAnsi="等线" w:eastAsia="等线" w:cs="等线"/>
      <w:kern w:val="2"/>
      <w:sz w:val="21"/>
      <w:szCs w:val="24"/>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CN" w:bidi="ar-SA"/>
    </w:rPr>
  </w:style>
  <w:style w:type="character" w:customStyle="1" w:styleId="13">
    <w:name w:val="font21"/>
    <w:basedOn w:val="9"/>
    <w:qFormat/>
    <w:uiPriority w:val="0"/>
    <w:rPr>
      <w:rFonts w:hint="eastAsia" w:ascii="宋体" w:hAnsi="宋体" w:eastAsia="宋体" w:cs="宋体"/>
      <w:color w:val="000000"/>
      <w:sz w:val="32"/>
      <w:szCs w:val="32"/>
      <w:u w:val="none"/>
    </w:rPr>
  </w:style>
  <w:style w:type="character" w:customStyle="1" w:styleId="14">
    <w:name w:val="font31"/>
    <w:basedOn w:val="9"/>
    <w:qFormat/>
    <w:uiPriority w:val="0"/>
    <w:rPr>
      <w:rFonts w:hint="eastAsia" w:ascii="宋体" w:hAnsi="宋体" w:eastAsia="宋体" w:cs="宋体"/>
      <w:strike/>
      <w:color w:val="00000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2026-04-30T08:29:00Z</dcterms:created>
  <dc:creator>豆、浆</dc:creator>
  <cp:lastModifiedBy>豆、浆</cp:lastModifiedBy>
  <dcterms:modified xsi:type="dcterms:W3CDTF">2026-04-30T08:30:30Z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712F05C84983464B837B39D8DC51FEA0_11</vt:lpwstr>
  </property>
  <property fmtid="{D5CDD505-2E9C-101B-9397-08002B2CF9AE}" pid="4" name="KSOTemplateDocerSaveRecord">
    <vt:lpwstr>eyJoZGlkIjoiYzAwNjk4NTUwMzAyYzU4YWZkOWU3NmQ3MmI1ZGZlMDMiLCJ1c2VySWQiOiIxMDY3MTk2NDE2In0=</vt:lpwstr>
  </property>
</Properties>
</file>