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44BF6F">
      <w:pPr>
        <w:pStyle w:val="6"/>
        <w:spacing w:line="360" w:lineRule="auto"/>
        <w:jc w:val="center"/>
        <w:rPr>
          <w:rFonts w:hint="default" w:asciiTheme="minorEastAsia" w:hAnsiTheme="minorEastAsia" w:eastAsiaTheme="minorEastAsia" w:cstheme="minorEastAsia"/>
          <w:color w:val="auto"/>
          <w:sz w:val="22"/>
          <w:szCs w:val="22"/>
          <w:highlight w:val="none"/>
          <w:lang w:val="en-US" w:eastAsia="zh-CN"/>
        </w:rPr>
      </w:pPr>
      <w:bookmarkStart w:id="0" w:name="_GoBack"/>
      <w:r>
        <w:rPr>
          <w:rFonts w:hint="eastAsia" w:asciiTheme="minorEastAsia" w:hAnsiTheme="minorEastAsia" w:cstheme="minorEastAsia"/>
          <w:color w:val="auto"/>
          <w:sz w:val="22"/>
          <w:szCs w:val="22"/>
          <w:highlight w:val="none"/>
          <w:lang w:val="en-US" w:eastAsia="zh-CN"/>
        </w:rPr>
        <w:t>采购需求</w:t>
      </w:r>
    </w:p>
    <w:bookmarkEnd w:id="0"/>
    <w:p w14:paraId="14407279">
      <w:pPr>
        <w:pStyle w:val="6"/>
        <w:spacing w:line="360" w:lineRule="auto"/>
        <w:ind w:firstLine="400"/>
        <w:rPr>
          <w:rFonts w:hint="default" w:asciiTheme="minorEastAsia" w:hAnsiTheme="minorEastAsia" w:cstheme="minorEastAsia"/>
          <w:color w:val="auto"/>
          <w:highlight w:val="none"/>
        </w:rPr>
      </w:pPr>
      <w:r>
        <w:rPr>
          <w:rFonts w:asciiTheme="minorEastAsia" w:hAnsiTheme="minorEastAsia" w:cstheme="minorEastAsia"/>
          <w:color w:val="auto"/>
          <w:highlight w:val="none"/>
        </w:rPr>
        <w:t>本项目所属行业为</w:t>
      </w:r>
      <w:r>
        <w:rPr>
          <w:rFonts w:asciiTheme="minorEastAsia" w:hAnsiTheme="minorEastAsia" w:cstheme="minorEastAsia"/>
          <w:b/>
          <w:color w:val="auto"/>
          <w:highlight w:val="none"/>
          <w:u w:val="single"/>
        </w:rPr>
        <w:t>建筑业</w:t>
      </w:r>
      <w:r>
        <w:rPr>
          <w:rFonts w:asciiTheme="minorEastAsia" w:hAnsiTheme="minorEastAsia" w:cstheme="minorEastAsia"/>
          <w:b/>
          <w:color w:val="auto"/>
          <w:highlight w:val="none"/>
        </w:rPr>
        <w:t>。</w:t>
      </w:r>
      <w:r>
        <w:rPr>
          <w:rFonts w:asciiTheme="minorEastAsia" w:hAnsiTheme="minorEastAsia" w:cstheme="minorEastAsia"/>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ADEB10B">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b/>
          <w:color w:val="auto"/>
          <w:highlight w:val="none"/>
        </w:rPr>
        <w:t>一、工程内容和施工地点、计划工期、缺陷责任期、质量保修期</w:t>
      </w:r>
    </w:p>
    <w:p w14:paraId="5FD44CFF">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（一）工程内容：</w:t>
      </w:r>
      <w:r>
        <w:rPr>
          <w:rFonts w:asciiTheme="minorEastAsia" w:hAnsiTheme="minorEastAsia" w:cstheme="minorEastAsia"/>
          <w:color w:val="auto"/>
          <w:highlight w:val="none"/>
        </w:rPr>
        <w:t>本项目主要内容</w:t>
      </w:r>
      <w:r>
        <w:rPr>
          <w:rFonts w:asciiTheme="minorEastAsia" w:hAnsiTheme="minorEastAsia" w:cstheme="minorEastAsia"/>
          <w:color w:val="auto"/>
          <w:highlight w:val="none"/>
          <w:lang w:eastAsia="zh-CN"/>
        </w:rPr>
        <w:t>包含室内消火栓系统、</w:t>
      </w:r>
      <w:r>
        <w:rPr>
          <w:rFonts w:asciiTheme="minorEastAsia" w:hAnsiTheme="minorEastAsia" w:cstheme="minorEastAsia"/>
          <w:color w:val="auto"/>
          <w:highlight w:val="none"/>
          <w:lang w:eastAsia="zh-CN"/>
        </w:rPr>
        <w:t>室内排烟系统</w:t>
      </w:r>
      <w:r>
        <w:rPr>
          <w:rFonts w:asciiTheme="minorEastAsia" w:hAnsiTheme="minorEastAsia" w:cstheme="minorEastAsia"/>
          <w:color w:val="auto"/>
          <w:highlight w:val="none"/>
          <w:lang w:eastAsia="zh-CN"/>
        </w:rPr>
        <w:t>、以及火灾自动报警系统以及应急照明系统的消防设计、门窗局部拆改、吊顶局部拆改、墙体及墙面局部拆改等。室外部分包含水电管网、检查井、路面拆除恢复等。以及学苑宾馆电气改造等各专业内容。具体以竞争</w:t>
      </w:r>
      <w:r>
        <w:rPr>
          <w:rFonts w:asciiTheme="minorEastAsia" w:hAnsiTheme="minorEastAsia" w:cstheme="minorEastAsia"/>
          <w:color w:val="auto"/>
          <w:highlight w:val="none"/>
          <w:lang w:eastAsia="zh-CN"/>
        </w:rPr>
        <w:t>性磋商文件、工程量清单及图纸等资料范围内全部工作内容为准。</w:t>
      </w:r>
    </w:p>
    <w:p w14:paraId="2A67E8AA">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rPr>
        <w:t>（二）工程地点：</w:t>
      </w:r>
      <w:r>
        <w:rPr>
          <w:rFonts w:asciiTheme="minorEastAsia" w:hAnsiTheme="minorEastAsia" w:cstheme="minorEastAsia"/>
          <w:color w:val="auto"/>
          <w:highlight w:val="none"/>
          <w:lang w:eastAsia="zh-CN"/>
        </w:rPr>
        <w:t>中共陕西省委党校（陕西行政学院）小寨校区（陕西省西安市雁塔区小寨西路119号）</w:t>
      </w:r>
    </w:p>
    <w:p w14:paraId="6A92E360">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（三）计划工期：</w:t>
      </w:r>
      <w:r>
        <w:rPr>
          <w:rFonts w:asciiTheme="minorEastAsia" w:hAnsiTheme="minorEastAsia" w:cstheme="minorEastAsia"/>
          <w:color w:val="auto"/>
          <w:highlight w:val="none"/>
          <w:lang w:eastAsia="zh-CN"/>
        </w:rPr>
        <w:t>自进场之日起35个日历日内竣工</w:t>
      </w:r>
      <w:r>
        <w:rPr>
          <w:rFonts w:asciiTheme="minorEastAsia" w:hAnsiTheme="minorEastAsia" w:cstheme="minorEastAsia"/>
          <w:color w:val="auto"/>
          <w:highlight w:val="none"/>
        </w:rPr>
        <w:t>。</w:t>
      </w:r>
    </w:p>
    <w:p w14:paraId="0EA2B176">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（四）缺陷责任期：本工程缺陷责任期为2年，缺陷责任期自工程竣工验收合格之日起计算。</w:t>
      </w:r>
    </w:p>
    <w:p w14:paraId="12F7CFDD">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（五）质量保修期：</w:t>
      </w:r>
      <w:r>
        <w:rPr>
          <w:rFonts w:asciiTheme="minorEastAsia" w:hAnsiTheme="minorEastAsia" w:cstheme="minorEastAsia"/>
          <w:color w:val="auto"/>
          <w:highlight w:val="none"/>
          <w:lang w:eastAsia="zh-CN"/>
        </w:rPr>
        <w:t>按照</w:t>
      </w:r>
      <w:r>
        <w:rPr>
          <w:rFonts w:asciiTheme="minorEastAsia" w:hAnsiTheme="minorEastAsia" w:cstheme="minorEastAsia"/>
          <w:color w:val="auto"/>
          <w:highlight w:val="none"/>
        </w:rPr>
        <w:t>《建设工程质量管理条例》中最低保修期的规定。</w:t>
      </w:r>
    </w:p>
    <w:p w14:paraId="2CE0690C">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（六）质量要求：合格。</w:t>
      </w:r>
    </w:p>
    <w:p w14:paraId="1CB7A487">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b/>
          <w:color w:val="auto"/>
          <w:highlight w:val="none"/>
          <w:lang w:eastAsia="zh-CN"/>
        </w:rPr>
        <w:t>二</w:t>
      </w:r>
      <w:r>
        <w:rPr>
          <w:rFonts w:asciiTheme="minorEastAsia" w:hAnsiTheme="minorEastAsia" w:cstheme="minorEastAsia"/>
          <w:b/>
          <w:color w:val="auto"/>
          <w:highlight w:val="none"/>
        </w:rPr>
        <w:t>、工程量清单和编制依据</w:t>
      </w:r>
    </w:p>
    <w:p w14:paraId="782F1E31">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（一）编制依据：</w:t>
      </w:r>
    </w:p>
    <w:p w14:paraId="3AFBF0FC">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1.工程量依据中创设计咨询集团有限公司设计的中共陕西省委党校（陕西行政学院）小寨校区消防整体提升改造项目(二期)各专业施工图及答疑回复编制；</w:t>
      </w:r>
    </w:p>
    <w:p w14:paraId="42343C63">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2.《关于批准发布《绿色生态小区建设评价标准》等7项陕西省工程建设标准的通告》陕建标发〔2025〕2号，《建设工程工程量清单计价标准》（DB 61/T5126-2025）、《市政工程工程量计算标准》（DB 61/T5128-2025）、《房屋建筑与装饰工程工程量计算标准》（DB 61/T5129-2025）、《通用安装工程工程量计算标准》（DB 61/T5130-2025）、《园林绿化工程工程量计算标准》（DB 61/T5131-2025）；</w:t>
      </w:r>
    </w:p>
    <w:p w14:paraId="4F36CE15">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3.《陕西省建设工程费用规则》（2025）；</w:t>
      </w:r>
    </w:p>
    <w:p w14:paraId="368AEC28">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4.工程特点及常规施工方案，现行施工规范；</w:t>
      </w:r>
    </w:p>
    <w:p w14:paraId="5A228F36">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5.与建设工程项目有关的标准、规范、图集、技术资料；</w:t>
      </w:r>
    </w:p>
    <w:p w14:paraId="71915F82">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6.图纸问题答疑回复、火灾自动报警系统设备清单。</w:t>
      </w:r>
    </w:p>
    <w:p w14:paraId="6FA713E0">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lang w:eastAsia="zh-CN"/>
        </w:rPr>
        <w:t>（二）</w:t>
      </w:r>
      <w:r>
        <w:rPr>
          <w:rFonts w:asciiTheme="minorEastAsia" w:hAnsiTheme="minorEastAsia" w:cstheme="minorEastAsia"/>
          <w:color w:val="auto"/>
          <w:highlight w:val="none"/>
        </w:rPr>
        <w:t>编制说明：</w:t>
      </w:r>
    </w:p>
    <w:p w14:paraId="0D4907E6">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1</w:t>
      </w:r>
      <w:r>
        <w:rPr>
          <w:rFonts w:asciiTheme="minorEastAsia" w:hAnsiTheme="minorEastAsia" w:cstheme="minorEastAsia"/>
          <w:color w:val="auto"/>
          <w:highlight w:val="none"/>
          <w:lang w:eastAsia="zh-CN"/>
        </w:rPr>
        <w:t>.</w:t>
      </w:r>
      <w:r>
        <w:rPr>
          <w:rFonts w:asciiTheme="minorEastAsia" w:hAnsiTheme="minorEastAsia" w:cstheme="minorEastAsia"/>
          <w:color w:val="auto"/>
          <w:highlight w:val="none"/>
        </w:rPr>
        <w:t>本项目工程量清单所提供的工程项目特征仅简略表述了主要项目特征、用料及做法，工程量清单计价应与竞争性磋商文件、合同条款、施工图纸、答疑回复、相关图集及技术规范等文件结合起来进行组价；</w:t>
      </w:r>
    </w:p>
    <w:p w14:paraId="425555BC">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2</w:t>
      </w:r>
      <w:r>
        <w:rPr>
          <w:rFonts w:asciiTheme="minorEastAsia" w:hAnsiTheme="minorEastAsia" w:cstheme="minorEastAsia"/>
          <w:color w:val="auto"/>
          <w:highlight w:val="none"/>
          <w:lang w:eastAsia="zh-CN"/>
        </w:rPr>
        <w:t>.</w:t>
      </w:r>
      <w:r>
        <w:rPr>
          <w:rFonts w:asciiTheme="minorEastAsia" w:hAnsiTheme="minorEastAsia" w:cstheme="minorEastAsia"/>
          <w:color w:val="auto"/>
          <w:highlight w:val="none"/>
        </w:rPr>
        <w:t>本工程采用一般计税:组成税前工程造价的分部分项工程项目费、措施项目费、其他项目费均不包含进项税税额；</w:t>
      </w:r>
    </w:p>
    <w:p w14:paraId="633F9E7B">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3</w:t>
      </w:r>
      <w:r>
        <w:rPr>
          <w:rFonts w:asciiTheme="minorEastAsia" w:hAnsiTheme="minorEastAsia" w:cstheme="minorEastAsia"/>
          <w:color w:val="auto"/>
          <w:highlight w:val="none"/>
          <w:lang w:eastAsia="zh-CN"/>
        </w:rPr>
        <w:t>.</w:t>
      </w:r>
      <w:r>
        <w:rPr>
          <w:rFonts w:asciiTheme="minorEastAsia" w:hAnsiTheme="minorEastAsia" w:cstheme="minorEastAsia"/>
          <w:color w:val="auto"/>
          <w:highlight w:val="none"/>
        </w:rPr>
        <w:t>本工程砂浆采用预拌砂浆，混凝土采用商品混凝土；</w:t>
      </w:r>
    </w:p>
    <w:p w14:paraId="3A4518FC">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4</w:t>
      </w:r>
      <w:r>
        <w:rPr>
          <w:rFonts w:asciiTheme="minorEastAsia" w:hAnsiTheme="minorEastAsia" w:cstheme="minorEastAsia"/>
          <w:color w:val="auto"/>
          <w:highlight w:val="none"/>
          <w:lang w:eastAsia="zh-CN"/>
        </w:rPr>
        <w:t>.</w:t>
      </w:r>
      <w:r>
        <w:rPr>
          <w:rFonts w:asciiTheme="minorEastAsia" w:hAnsiTheme="minorEastAsia" w:cstheme="minorEastAsia"/>
          <w:color w:val="auto"/>
          <w:highlight w:val="none"/>
        </w:rPr>
        <w:t>电子版使用广联达云计价软件GCCP7.0（版本：7.5000.23.3）。（</w:t>
      </w:r>
      <w:r>
        <w:rPr>
          <w:rFonts w:asciiTheme="minorEastAsia" w:hAnsiTheme="minorEastAsia" w:cstheme="minorEastAsia"/>
          <w:color w:val="auto"/>
          <w:highlight w:val="none"/>
          <w:lang w:eastAsia="zh-CN"/>
        </w:rPr>
        <w:t>三</w:t>
      </w:r>
      <w:r>
        <w:rPr>
          <w:rFonts w:asciiTheme="minorEastAsia" w:hAnsiTheme="minorEastAsia" w:cstheme="minorEastAsia"/>
          <w:color w:val="auto"/>
          <w:highlight w:val="none"/>
        </w:rPr>
        <w:t>）暂列金额：</w:t>
      </w:r>
    </w:p>
    <w:p w14:paraId="320CB958">
      <w:pPr>
        <w:pStyle w:val="6"/>
        <w:spacing w:line="360" w:lineRule="auto"/>
        <w:jc w:val="both"/>
        <w:rPr>
          <w:rFonts w:hint="default" w:asciiTheme="minorEastAsia" w:hAnsiTheme="minorEastAsia" w:cstheme="minorEastAsia"/>
          <w:color w:val="auto"/>
          <w:highlight w:val="none"/>
        </w:rPr>
      </w:pPr>
      <w:r>
        <w:rPr>
          <w:rFonts w:asciiTheme="minorEastAsia" w:hAnsiTheme="minorEastAsia" w:cstheme="minorEastAsia"/>
          <w:color w:val="auto"/>
          <w:highlight w:val="none"/>
        </w:rPr>
        <w:t>1</w:t>
      </w:r>
      <w:r>
        <w:rPr>
          <w:rFonts w:asciiTheme="minorEastAsia" w:hAnsiTheme="minorEastAsia" w:cstheme="minorEastAsia"/>
          <w:color w:val="auto"/>
          <w:highlight w:val="none"/>
          <w:lang w:eastAsia="zh-CN"/>
        </w:rPr>
        <w:t>.</w:t>
      </w:r>
      <w:r>
        <w:rPr>
          <w:rFonts w:asciiTheme="minorEastAsia" w:hAnsiTheme="minorEastAsia" w:cstheme="minorEastAsia"/>
          <w:color w:val="auto"/>
          <w:highlight w:val="none"/>
        </w:rPr>
        <w:t>暂列金额：本工程暂列金额共计</w:t>
      </w:r>
      <w:r>
        <w:rPr>
          <w:rFonts w:asciiTheme="minorEastAsia" w:hAnsiTheme="minorEastAsia" w:cstheme="minorEastAsia"/>
          <w:color w:val="auto"/>
          <w:highlight w:val="none"/>
        </w:rPr>
        <w:t>158000.00元（不</w:t>
      </w:r>
      <w:r>
        <w:rPr>
          <w:rFonts w:asciiTheme="minorEastAsia" w:hAnsiTheme="minorEastAsia" w:cstheme="minorEastAsia"/>
          <w:color w:val="auto"/>
          <w:highlight w:val="none"/>
        </w:rPr>
        <w:t>含增值税），列入单位工程其他项目费暂列金额中。</w:t>
      </w:r>
    </w:p>
    <w:p w14:paraId="0C5AFE98">
      <w:pPr>
        <w:pStyle w:val="6"/>
        <w:spacing w:line="360" w:lineRule="auto"/>
        <w:jc w:val="both"/>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（四）有关问题说明：</w:t>
      </w:r>
    </w:p>
    <w:p w14:paraId="5A3A9091">
      <w:pPr>
        <w:pStyle w:val="6"/>
        <w:spacing w:line="360" w:lineRule="auto"/>
        <w:jc w:val="both"/>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1、本工程回填土利用施工现场开挖产生的原状土方进行回填，场内合理调配使用；土方回填完成后所产生的多余弃土装车、运输，外运至政府指定弃土点，相关费用包含在综合单价内。</w:t>
      </w:r>
    </w:p>
    <w:p w14:paraId="6331356C">
      <w:pPr>
        <w:pStyle w:val="6"/>
        <w:spacing w:line="360" w:lineRule="auto"/>
        <w:jc w:val="both"/>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w:t>
      </w:r>
      <w:r>
        <w:rPr>
          <w:rFonts w:asciiTheme="minorEastAsia" w:hAnsiTheme="minorEastAsia" w:cstheme="minorEastAsia"/>
          <w:color w:val="auto"/>
          <w:highlight w:val="none"/>
          <w:lang w:eastAsia="zh-CN"/>
        </w:rPr>
        <w:t>清单中须注明所投主材材料的品牌。</w:t>
      </w:r>
    </w:p>
    <w:p w14:paraId="0F5198A7">
      <w:pPr>
        <w:pStyle w:val="6"/>
        <w:spacing w:line="360" w:lineRule="auto"/>
        <w:jc w:val="both"/>
        <w:rPr>
          <w:rFonts w:hint="default" w:asciiTheme="minorEastAsia" w:hAnsiTheme="minorEastAsia" w:cstheme="minorEastAsia"/>
          <w:color w:val="auto"/>
          <w:highlight w:val="none"/>
        </w:rPr>
      </w:pPr>
      <w:r>
        <w:rPr>
          <w:rFonts w:asciiTheme="minorEastAsia" w:hAnsiTheme="minorEastAsia" w:cstheme="minorEastAsia"/>
          <w:b/>
          <w:color w:val="auto"/>
          <w:highlight w:val="none"/>
          <w:lang w:eastAsia="zh-CN"/>
        </w:rPr>
        <w:t>三</w:t>
      </w:r>
      <w:r>
        <w:rPr>
          <w:rFonts w:asciiTheme="minorEastAsia" w:hAnsiTheme="minorEastAsia" w:cstheme="minorEastAsia"/>
          <w:b/>
          <w:color w:val="auto"/>
          <w:highlight w:val="none"/>
        </w:rPr>
        <w:t>、施工要求</w:t>
      </w:r>
    </w:p>
    <w:p w14:paraId="3BF45D04">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1.在施工期间，供应商必须注意施工现场人员安全，加强安全措施，并对施工人员进行安全教育。施工人员必须持证上岗。</w:t>
      </w:r>
    </w:p>
    <w:p w14:paraId="49DE00FE">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2.供应商在本工程中的项目负责人(项目经理)，要求技术水平高、组织能力强、有丰富的工程业绩和实践经验，懂管理、善于协调。施工人员中特殊工程人员要求有上岗证。施工队伍稳定，保证整个工程顺利完工。</w:t>
      </w:r>
    </w:p>
    <w:p w14:paraId="6CD6ED0C">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3.施工过程中，严格遵守采购人各种管理规定及规章制度，做到文明施工。发生工伤及意外事故由施工单位负责。</w:t>
      </w:r>
    </w:p>
    <w:p w14:paraId="554CF6C4">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4.严格按照国家和省上有关规定施工、规范施工，确保工程合格，如有更改须事先征得有关方面的同意，并在采购人落实后实施，并出具书面说明。</w:t>
      </w:r>
    </w:p>
    <w:p w14:paraId="06C4A109">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5.工程实行包工包料。</w:t>
      </w:r>
    </w:p>
    <w:p w14:paraId="6E1DEBF6">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6.供应商根据工程实际情况编制施工方案，制定工期进度安排表，并随磋商响应文件一并提交。</w:t>
      </w:r>
    </w:p>
    <w:p w14:paraId="54C9B591">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7.所有进场材料需携带合格证等质量证明文件，所有提供的材料均需使用环保产品，对</w:t>
      </w:r>
      <w:r>
        <w:rPr>
          <w:rFonts w:hint="eastAsia" w:asciiTheme="minorEastAsia" w:hAnsiTheme="minorEastAsia" w:eastAsiaTheme="minorEastAsia" w:cstheme="minorEastAsia"/>
          <w:color w:val="auto"/>
          <w:sz w:val="20"/>
          <w:highlight w:val="none"/>
        </w:rPr>
        <w:t>人体</w:t>
      </w:r>
      <w:r>
        <w:rPr>
          <w:rFonts w:hint="eastAsia" w:asciiTheme="minorEastAsia" w:hAnsiTheme="minorEastAsia" w:eastAsiaTheme="minorEastAsia" w:cstheme="minorEastAsia"/>
          <w:color w:val="auto"/>
          <w:sz w:val="20"/>
          <w:highlight w:val="none"/>
          <w:lang w:eastAsia="zh-Hans"/>
        </w:rPr>
        <w:t>健康无危害，由采购人现场代表对所进场材料予以验收并签字确认。</w:t>
      </w:r>
    </w:p>
    <w:p w14:paraId="639C9347">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8.施工期间需采取必要措施确保现场正常运行。</w:t>
      </w:r>
    </w:p>
    <w:p w14:paraId="54ADD1A7">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9.所有施工人员需统一着装统一单位标识，严禁随意通行。</w:t>
      </w:r>
    </w:p>
    <w:p w14:paraId="3FC90055">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10.选用的主材、设备及辅材均须采用质量合格且性能满足本项目使用要求的产品，须清晰列明对应品牌、规格、型号、产地；主要设备与材料应先行报送样品，经采购人认质确认后方可批量订货施工，严禁使用未检验、检验不合格的物资。供应商需同步及时向采购人提供产品合格证与材料检验单据，完成相关核验手续并经各方认可后方可开展后续施工；若违规使用不合格或未审验设备材料，将追责相关责任人，并由供应商全额承担由此产生的全部经济损失。</w:t>
      </w:r>
    </w:p>
    <w:p w14:paraId="762354DE">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lang w:eastAsia="zh-Hans"/>
        </w:rPr>
      </w:pPr>
      <w:r>
        <w:rPr>
          <w:rFonts w:hint="eastAsia" w:asciiTheme="minorEastAsia" w:hAnsiTheme="minorEastAsia" w:eastAsiaTheme="minorEastAsia" w:cstheme="minorEastAsia"/>
          <w:color w:val="auto"/>
          <w:sz w:val="20"/>
          <w:highlight w:val="none"/>
          <w:lang w:eastAsia="zh-Hans"/>
        </w:rPr>
        <w:t>11.供应商未经采购人同意，不得擅自更换本工程在磋商响应文件中指定的项目施工负责人(项目经理)及施工队伍。不得分包、转包。确需分包时须征得采购人同意。否则将终止合同并按政府采购有关规定进行处理。</w:t>
      </w:r>
    </w:p>
    <w:p w14:paraId="302E9994">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四、主要材料与设备</w:t>
      </w:r>
    </w:p>
    <w:p w14:paraId="03A90A9E">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1.主要材料</w:t>
      </w:r>
    </w:p>
    <w:p w14:paraId="214D127D">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（1）配管：</w:t>
      </w:r>
      <w:r>
        <w:rPr>
          <w:rFonts w:hint="eastAsia" w:asciiTheme="minorEastAsia" w:hAnsiTheme="minorEastAsia" w:eastAsiaTheme="minorEastAsia" w:cstheme="minorEastAsia"/>
          <w:color w:val="auto"/>
          <w:sz w:val="20"/>
          <w:highlight w:val="none"/>
        </w:rPr>
        <w:t>规格①JDG20</w:t>
      </w:r>
    </w:p>
    <w:p w14:paraId="1C39A662">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（2）配线：</w:t>
      </w:r>
      <w:r>
        <w:rPr>
          <w:rFonts w:hint="eastAsia" w:asciiTheme="minorEastAsia" w:hAnsiTheme="minorEastAsia" w:eastAsiaTheme="minorEastAsia" w:cstheme="minorEastAsia"/>
          <w:color w:val="auto"/>
          <w:sz w:val="20"/>
          <w:highlight w:val="none"/>
        </w:rPr>
        <w:t>规格①WDZ-BYJ-4②WDZ-BYJ-6</w:t>
      </w:r>
    </w:p>
    <w:p w14:paraId="6D6EFEB3">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（3）电力电缆：</w:t>
      </w:r>
      <w:r>
        <w:rPr>
          <w:rFonts w:hint="eastAsia" w:asciiTheme="minorEastAsia" w:hAnsiTheme="minorEastAsia" w:eastAsiaTheme="minorEastAsia" w:cstheme="minorEastAsia"/>
          <w:color w:val="auto"/>
          <w:sz w:val="20"/>
          <w:highlight w:val="none"/>
        </w:rPr>
        <w:t>规格①NH-YJLV-3X150+2X70②NH-YJLV-5X16③NH-YJLV-3X25+2X16</w:t>
      </w:r>
    </w:p>
    <w:p w14:paraId="5870EF06">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（4）钢丝网骨架塑料复合给水管：</w:t>
      </w:r>
      <w:r>
        <w:rPr>
          <w:rFonts w:hint="eastAsia" w:asciiTheme="minorEastAsia" w:hAnsiTheme="minorEastAsia" w:eastAsiaTheme="minorEastAsia" w:cstheme="minorEastAsia"/>
          <w:color w:val="auto"/>
          <w:sz w:val="20"/>
          <w:highlight w:val="none"/>
        </w:rPr>
        <w:t>规格①DN100②DN150</w:t>
      </w:r>
    </w:p>
    <w:p w14:paraId="23B1CDCB">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（5）焊接钢管：</w:t>
      </w:r>
      <w:r>
        <w:rPr>
          <w:rFonts w:hint="eastAsia" w:asciiTheme="minorEastAsia" w:hAnsiTheme="minorEastAsia" w:eastAsiaTheme="minorEastAsia" w:cstheme="minorEastAsia"/>
          <w:color w:val="auto"/>
          <w:sz w:val="20"/>
          <w:highlight w:val="none"/>
        </w:rPr>
        <w:t>规格①SC20②SC50③SC65④SC120</w:t>
      </w:r>
    </w:p>
    <w:p w14:paraId="30C7540A">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2.主要设备</w:t>
      </w:r>
    </w:p>
    <w:p w14:paraId="31ADA0C5">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（1）</w:t>
      </w:r>
      <w:r>
        <w:rPr>
          <w:rFonts w:asciiTheme="minorEastAsia" w:hAnsiTheme="minorEastAsia" w:eastAsiaTheme="minorEastAsia" w:cstheme="minorEastAsia"/>
          <w:b/>
          <w:bCs/>
          <w:color w:val="auto"/>
          <w:sz w:val="20"/>
          <w:highlight w:val="none"/>
        </w:rPr>
        <w:t>成套配电箱</w:t>
      </w:r>
      <w:r>
        <w:rPr>
          <w:rFonts w:hint="eastAsia" w:asciiTheme="minorEastAsia" w:hAnsiTheme="minorEastAsia" w:eastAsiaTheme="minorEastAsia" w:cstheme="minorEastAsia"/>
          <w:b/>
          <w:bCs/>
          <w:color w:val="auto"/>
          <w:sz w:val="20"/>
          <w:highlight w:val="none"/>
        </w:rPr>
        <w:t>-KF 客房配电箱</w:t>
      </w:r>
    </w:p>
    <w:p w14:paraId="1F824B32">
      <w:pPr>
        <w:pStyle w:val="3"/>
        <w:widowControl/>
        <w:shd w:val="clear" w:color="auto" w:fill="FFFFFF"/>
        <w:spacing w:beforeAutospacing="0" w:afterAutospacing="0" w:line="360" w:lineRule="auto"/>
        <w:jc w:val="both"/>
        <w:rPr>
          <w:rFonts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t>规格:400×250×150mm；</w:t>
      </w:r>
    </w:p>
    <w:p w14:paraId="3DBA0468">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b/>
          <w:bCs/>
          <w:color w:val="auto"/>
          <w:sz w:val="20"/>
          <w:highlight w:val="none"/>
        </w:rPr>
        <w:t>（2）泵-室外消火栓泵</w:t>
      </w:r>
    </w:p>
    <w:p w14:paraId="1D71CEDE">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asciiTheme="minorEastAsia" w:hAnsiTheme="minorEastAsia" w:eastAsiaTheme="minorEastAsia" w:cstheme="minorEastAsia"/>
          <w:b/>
          <w:bCs/>
          <w:color w:val="auto"/>
          <w:sz w:val="20"/>
          <w:highlight w:val="none"/>
        </w:rPr>
        <w:t>规格:XBD6.0/30-GJ-LSD</w:t>
      </w:r>
      <w:r>
        <w:rPr>
          <w:rFonts w:hint="eastAsia" w:asciiTheme="minorEastAsia" w:hAnsiTheme="minorEastAsia" w:eastAsiaTheme="minorEastAsia" w:cstheme="minorEastAsia"/>
          <w:b/>
          <w:bCs/>
          <w:color w:val="auto"/>
          <w:sz w:val="20"/>
          <w:highlight w:val="none"/>
        </w:rPr>
        <w:t>，</w:t>
      </w:r>
      <w:r>
        <w:rPr>
          <w:rFonts w:asciiTheme="minorEastAsia" w:hAnsiTheme="minorEastAsia" w:eastAsiaTheme="minorEastAsia" w:cstheme="minorEastAsia"/>
          <w:b/>
          <w:bCs/>
          <w:color w:val="auto"/>
          <w:sz w:val="20"/>
          <w:highlight w:val="none"/>
        </w:rPr>
        <w:t>参数:Q=30L/s,H=60m N=30kw/台</w:t>
      </w:r>
    </w:p>
    <w:p w14:paraId="1D8D792D">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cstheme="minorEastAsia"/>
          <w:b/>
          <w:bCs/>
          <w:color w:val="auto"/>
          <w:sz w:val="20"/>
          <w:highlight w:val="none"/>
        </w:rPr>
        <w:t>（3）火灾报警系统控制主机-</w:t>
      </w:r>
      <w:r>
        <w:rPr>
          <w:rFonts w:hint="eastAsia" w:asciiTheme="minorEastAsia" w:hAnsiTheme="minorEastAsia" w:eastAsiaTheme="minorEastAsia" w:cstheme="minorEastAsia"/>
          <w:b/>
          <w:bCs/>
          <w:color w:val="auto"/>
          <w:sz w:val="20"/>
          <w:highlight w:val="none"/>
        </w:rPr>
        <w:t>火灾报警控制器/消防联动控制器</w:t>
      </w:r>
    </w:p>
    <w:p w14:paraId="7052C842">
      <w:pPr>
        <w:pStyle w:val="3"/>
        <w:widowControl/>
        <w:shd w:val="clear" w:color="auto" w:fill="FFFFFF"/>
        <w:spacing w:beforeAutospacing="0" w:afterAutospacing="0" w:line="360" w:lineRule="auto"/>
        <w:jc w:val="both"/>
        <w:rPr>
          <w:rFonts w:asciiTheme="minorEastAsia" w:hAnsiTheme="minorEastAsia" w:eastAsiaTheme="minorEastAsia" w:cstheme="minorEastAsia"/>
          <w:b/>
          <w:bCs/>
          <w:color w:val="auto"/>
          <w:sz w:val="20"/>
          <w:highlight w:val="none"/>
        </w:rPr>
      </w:pPr>
      <w:r>
        <w:rPr>
          <w:rFonts w:hint="eastAsia" w:asciiTheme="minorEastAsia" w:hAnsiTheme="minorEastAsia" w:eastAsiaTheme="minorEastAsia" w:cstheme="minorEastAsia"/>
          <w:color w:val="auto"/>
          <w:sz w:val="20"/>
          <w:highlight w:val="none"/>
        </w:rPr>
        <w:t>技术规格:满足新国标，黑色外壳，立柜（含机柜），6回路，每回路250点；含控制器系统电源和一套6路多线操作盘，不含蓄电池，需配接2节DC12V/24Ah密封铅酸电池；产品尺寸：L 550mm × W460mm × H 1760mm；</w:t>
      </w:r>
    </w:p>
    <w:p w14:paraId="32A4EDBF">
      <w:pPr>
        <w:pStyle w:val="6"/>
        <w:spacing w:line="360" w:lineRule="auto"/>
        <w:rPr>
          <w:rFonts w:hint="default" w:asciiTheme="minorEastAsia" w:hAnsiTheme="minorEastAsia" w:cstheme="minorEastAsia"/>
          <w:b/>
          <w:bCs/>
          <w:color w:val="auto"/>
          <w:highlight w:val="none"/>
          <w:lang w:eastAsia="zh-CN"/>
        </w:rPr>
      </w:pPr>
      <w:r>
        <w:rPr>
          <w:rFonts w:asciiTheme="minorEastAsia" w:hAnsiTheme="minorEastAsia" w:cstheme="minorEastAsia"/>
          <w:b/>
          <w:bCs/>
          <w:color w:val="auto"/>
          <w:highlight w:val="none"/>
          <w:lang w:eastAsia="zh-CN"/>
        </w:rPr>
        <w:t>（4）消防广播及对讲电话主机(柜)-消防电话主机</w:t>
      </w:r>
    </w:p>
    <w:p w14:paraId="52326BF6">
      <w:pPr>
        <w:pStyle w:val="6"/>
        <w:spacing w:line="360" w:lineRule="auto"/>
        <w:rPr>
          <w:rFonts w:hint="default" w:asciiTheme="minorEastAsia" w:hAnsiTheme="minorEastAsia" w:cstheme="minorEastAsia"/>
          <w:b/>
          <w:bCs/>
          <w:color w:val="auto"/>
          <w:highlight w:val="none"/>
          <w:lang w:eastAsia="zh-CN"/>
        </w:rPr>
      </w:pPr>
      <w:r>
        <w:rPr>
          <w:rFonts w:asciiTheme="minorEastAsia" w:hAnsiTheme="minorEastAsia" w:cstheme="minorEastAsia"/>
          <w:color w:val="auto"/>
          <w:highlight w:val="none"/>
          <w:lang w:eastAsia="zh-CN"/>
        </w:rPr>
        <w:t>规格:黑色外壳，输出：电话总线DC24V，显示：液晶+指示灯，传输距离：1.5km，监视电流＜1mA；通话电流＜25mA，话音频率范围：300～3400Hz；产品尺寸：483mm x 155mm x88m</w:t>
      </w:r>
      <w:r>
        <w:rPr>
          <w:rFonts w:asciiTheme="minorEastAsia" w:hAnsiTheme="minorEastAsia" w:cstheme="minorEastAsia"/>
          <w:b/>
          <w:bCs/>
          <w:color w:val="auto"/>
          <w:highlight w:val="none"/>
          <w:lang w:eastAsia="zh-CN"/>
        </w:rPr>
        <w:t>m；</w:t>
      </w:r>
    </w:p>
    <w:p w14:paraId="1AB39EA0">
      <w:pPr>
        <w:pStyle w:val="6"/>
        <w:spacing w:line="360" w:lineRule="auto"/>
        <w:rPr>
          <w:rFonts w:hint="default" w:asciiTheme="minorEastAsia" w:hAnsiTheme="minorEastAsia" w:cstheme="minorEastAsia"/>
          <w:b/>
          <w:bCs/>
          <w:color w:val="auto"/>
          <w:highlight w:val="none"/>
          <w:lang w:eastAsia="zh-CN"/>
        </w:rPr>
      </w:pPr>
      <w:r>
        <w:rPr>
          <w:rFonts w:asciiTheme="minorEastAsia" w:hAnsiTheme="minorEastAsia" w:cstheme="minorEastAsia"/>
          <w:b/>
          <w:bCs/>
          <w:color w:val="auto"/>
          <w:highlight w:val="none"/>
          <w:lang w:eastAsia="zh-CN"/>
        </w:rPr>
        <w:t>（5）图形显示装置-消防控制室图形显示装置</w:t>
      </w:r>
    </w:p>
    <w:p w14:paraId="56951B62">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规格:黑色外壳，DC24V供电，嵌入式，已含键盘、鼠标；</w:t>
      </w:r>
    </w:p>
    <w:p w14:paraId="74BE07E8">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b/>
          <w:color w:val="auto"/>
          <w:highlight w:val="none"/>
          <w:lang w:eastAsia="zh-CN"/>
        </w:rPr>
        <w:t>五</w:t>
      </w:r>
      <w:r>
        <w:rPr>
          <w:rFonts w:asciiTheme="minorEastAsia" w:hAnsiTheme="minorEastAsia" w:cstheme="minorEastAsia"/>
          <w:b/>
          <w:color w:val="auto"/>
          <w:highlight w:val="none"/>
        </w:rPr>
        <w:t>、商务要求（如合同价款及结算方式等）</w:t>
      </w:r>
    </w:p>
    <w:p w14:paraId="6B63A0DC">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款项结算：首期预付款：合同签订设备进场后10个工作日内支付签约合同价的（扣除暂列金额、</w:t>
      </w:r>
      <w:r>
        <w:rPr>
          <w:rFonts w:asciiTheme="minorEastAsia" w:hAnsiTheme="minorEastAsia" w:cstheme="minorEastAsia"/>
          <w:color w:val="auto"/>
          <w:highlight w:val="none"/>
          <w:lang w:eastAsia="zh-CN"/>
        </w:rPr>
        <w:t>安全文明施工措施费</w:t>
      </w:r>
      <w:r>
        <w:rPr>
          <w:rFonts w:asciiTheme="minorEastAsia" w:hAnsiTheme="minorEastAsia" w:cstheme="minorEastAsia"/>
          <w:color w:val="auto"/>
          <w:highlight w:val="none"/>
        </w:rPr>
        <w:t>）40%，项目竣工验收合格且审计完成后10个工作日内，按结算审计金额支付余款。</w:t>
      </w:r>
    </w:p>
    <w:p w14:paraId="00D31ACD">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②特殊条款</w:t>
      </w:r>
    </w:p>
    <w:p w14:paraId="11090D89">
      <w:pPr>
        <w:pStyle w:val="6"/>
        <w:spacing w:line="360" w:lineRule="auto"/>
        <w:rPr>
          <w:rFonts w:hint="default" w:asciiTheme="minorEastAsia" w:hAnsiTheme="minorEastAsia" w:cstheme="minorEastAsia"/>
          <w:color w:val="auto"/>
          <w:highlight w:val="none"/>
        </w:rPr>
      </w:pPr>
      <w:r>
        <w:rPr>
          <w:rFonts w:asciiTheme="minorEastAsia" w:hAnsiTheme="minorEastAsia" w:cstheme="minorEastAsia"/>
          <w:color w:val="auto"/>
          <w:highlight w:val="none"/>
        </w:rPr>
        <w:t>工程结算中，为了约束承包方夸大地上报项目送审金额而给发包人带来不必要的损失，工程审计的审减率应控制在5%以内，如超出5%审减率时，将按发包人与审计单位签订合同规定，超额部分的基础审计费和审减审计费由承包人向审计单位另行支付。（注：审减率=(送审额-审定额)/送审额x100%）。</w:t>
      </w:r>
    </w:p>
    <w:p w14:paraId="5C4D6E74">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六、人员要求</w:t>
      </w:r>
    </w:p>
    <w:p w14:paraId="055980A7">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供应商</w:t>
      </w:r>
      <w:r>
        <w:rPr>
          <w:rFonts w:hint="default" w:asciiTheme="minorEastAsia" w:hAnsiTheme="minorEastAsia" w:cstheme="minorEastAsia"/>
          <w:color w:val="auto"/>
          <w:highlight w:val="none"/>
          <w:lang w:eastAsia="zh-CN"/>
        </w:rPr>
        <w:t>须另配置一名机电工程二级及以上专业注册建造师作为机电负责人。</w:t>
      </w:r>
    </w:p>
    <w:p w14:paraId="4E56EF2F">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七、施工方案要求</w:t>
      </w:r>
    </w:p>
    <w:p w14:paraId="0BE5003C">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（一）确保工程质量技术组织措施：</w:t>
      </w:r>
    </w:p>
    <w:p w14:paraId="4DFF0E54">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1.专项质量方案与控制点管控</w:t>
      </w:r>
    </w:p>
    <w:p w14:paraId="7219C081">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2.全过程质量闭环管控</w:t>
      </w:r>
    </w:p>
    <w:p w14:paraId="79EB6396">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3.岗位质量责任制管理</w:t>
      </w:r>
    </w:p>
    <w:p w14:paraId="54C53DAA">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4.质量通病防治、样板引路及成品保护</w:t>
      </w:r>
    </w:p>
    <w:p w14:paraId="71618C99">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（二）确保安全生产技术组织措施：</w:t>
      </w:r>
    </w:p>
    <w:p w14:paraId="6617AC50">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1.安全生产措施费专户管理，建立安全投入使用核查流程，明确安全员对安全费用落实情况的核查职责，严禁挤占、挪用安全生产措施费；</w:t>
      </w:r>
    </w:p>
    <w:p w14:paraId="390EFF8B">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2.劳动防护用品采购、定期发放、使用管理；</w:t>
      </w:r>
    </w:p>
    <w:p w14:paraId="1B360025">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3.交叉施工、用电安全措施；</w:t>
      </w:r>
    </w:p>
    <w:p w14:paraId="4E690BBC">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4.应急救援组织机构、预案及物资配置；</w:t>
      </w:r>
    </w:p>
    <w:p w14:paraId="60EAF040">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5.建立现场安全设施定期检修制度。</w:t>
      </w:r>
    </w:p>
    <w:p w14:paraId="48582FAA">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（三）确保文明施工技术组织措施：</w:t>
      </w:r>
    </w:p>
    <w:p w14:paraId="6AD4B5D2">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1.施工现场围挡封闭管理；</w:t>
      </w:r>
    </w:p>
    <w:p w14:paraId="29B42A6E">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2.场内道路及作业区域硬化处理；</w:t>
      </w:r>
    </w:p>
    <w:p w14:paraId="4BC222B8">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3.室内外材料堆放、垃圾日清管理；</w:t>
      </w:r>
    </w:p>
    <w:p w14:paraId="729F23FE">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4.施工区域标识标牌管理；</w:t>
      </w:r>
    </w:p>
    <w:p w14:paraId="655E9CC6">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5.施工现场文明管理制度健全。</w:t>
      </w:r>
    </w:p>
    <w:p w14:paraId="7AF0A121">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（四）确保环境保护组织措施</w:t>
      </w:r>
    </w:p>
    <w:p w14:paraId="64DA1BB5">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1.出场车辆冲洗保洁；</w:t>
      </w:r>
    </w:p>
    <w:p w14:paraId="72BF5B0B">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2.施工扬尘、施工噪声管控措施；</w:t>
      </w:r>
    </w:p>
    <w:p w14:paraId="114D6BE4">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3.现场保洁、垃圾清运处置制度；</w:t>
      </w:r>
    </w:p>
    <w:p w14:paraId="73E20867">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4.污水排放管控；</w:t>
      </w:r>
    </w:p>
    <w:p w14:paraId="43491C56">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5.危险废弃物（废油漆桶、废旧线缆、装修危废等）分类收集处置处理处置方案；</w:t>
      </w:r>
    </w:p>
    <w:p w14:paraId="649F9125">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（五）资源配置计划</w:t>
      </w:r>
    </w:p>
    <w:p w14:paraId="66F8EFE2">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1.劳动力配置计划</w:t>
      </w:r>
    </w:p>
    <w:p w14:paraId="299FFF6F">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2.施工机械设备配置计划</w:t>
      </w:r>
    </w:p>
    <w:p w14:paraId="0EA0C7D5">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3.主要材料供应计划</w:t>
      </w:r>
    </w:p>
    <w:p w14:paraId="547D6B98">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（六）施工进度计划及保证措施</w:t>
      </w:r>
    </w:p>
    <w:p w14:paraId="2437AC1C">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1.施工进度计划编制</w:t>
      </w:r>
    </w:p>
    <w:p w14:paraId="36B8A07E">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2.关键节点控制计划</w:t>
      </w:r>
    </w:p>
    <w:p w14:paraId="0D5829F8">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3.工期保障组织及技术措施</w:t>
      </w:r>
    </w:p>
    <w:p w14:paraId="7C847B8A">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4.工期风险预判及纠偏补救措施</w:t>
      </w:r>
    </w:p>
    <w:p w14:paraId="3B10E15D">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（七）售后服务</w:t>
      </w:r>
    </w:p>
    <w:p w14:paraId="51353375">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1.售后人员及管理制度</w:t>
      </w:r>
    </w:p>
    <w:p w14:paraId="6DBAE241">
      <w:pPr>
        <w:pStyle w:val="6"/>
        <w:spacing w:line="360" w:lineRule="auto"/>
        <w:rPr>
          <w:rFonts w:hint="default" w:asciiTheme="minorEastAsia" w:hAnsiTheme="minorEastAsia" w:cstheme="minorEastAsia"/>
          <w:color w:val="auto"/>
          <w:highlight w:val="none"/>
          <w:lang w:eastAsia="zh-CN"/>
        </w:rPr>
      </w:pPr>
      <w:r>
        <w:rPr>
          <w:rFonts w:asciiTheme="minorEastAsia" w:hAnsiTheme="minorEastAsia" w:cstheme="minorEastAsia"/>
          <w:color w:val="auto"/>
          <w:highlight w:val="none"/>
          <w:lang w:eastAsia="zh-CN"/>
        </w:rPr>
        <w:t>2.设备故障及工程缺陷处置机制</w:t>
      </w:r>
    </w:p>
    <w:p w14:paraId="3F1E3359">
      <w:pPr>
        <w:rPr>
          <w:color w:val="auto"/>
          <w:highlight w:val="none"/>
        </w:rPr>
      </w:pPr>
      <w:r>
        <w:rPr>
          <w:rFonts w:asciiTheme="minorEastAsia" w:hAnsiTheme="minorEastAsia" w:cstheme="minorEastAsia"/>
          <w:color w:val="auto"/>
          <w:highlight w:val="none"/>
          <w:lang w:eastAsia="zh-CN"/>
        </w:rPr>
        <w:t>3.质保期维修范围界定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444D44"/>
    <w:rsid w:val="08444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Autospacing="1" w:afterAutospacing="1"/>
      <w:jc w:val="left"/>
    </w:pPr>
    <w:rPr>
      <w:kern w:val="0"/>
      <w:sz w:val="24"/>
    </w:r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2026-08-26T08:56:00Z</dcterms:created>
  <dc:creator>Lenovo</dc:creator>
  <cp:lastModifiedBy>Lenovo</cp:lastModifiedBy>
  <dcterms:modified xsi:type="dcterms:W3CDTF">2026-08-26T08:56:49Z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8B7A543A7A624152B7C3EBF9AB4A9D8A_11</vt:lpwstr>
  </property>
  <property fmtid="{D5CDD505-2E9C-101B-9397-08002B2CF9AE}" pid="4" name="KSOTemplateDocerSaveRecord">
    <vt:lpwstr>eyJoZGlkIjoiZjdmN2JjMTBmOTIxY2MwYTkyYTRkYTkxMmM4MjYyNWEiLCJ1c2VySWQiOiI0NDgyMTE1NDUifQ==</vt:lpwstr>
  </property>
</Properties>
</file>