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版本号：ZX-ZC-TG-2026-02620260810002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潼关县2026年重点野生动植物保护(野生鸟类监测保护)项目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ZX-ZC-TG-2026-026</w:t>
      </w:r>
      <w:r>
        <w:br/>
      </w:r>
      <w:r>
        <w:br/>
      </w:r>
      <w:r>
        <w:br/>
      </w:r>
    </w:p>
    <w:p>
      <w:pPr>
        <w:pStyle w:val="null3"/>
        <w:jc w:val="center"/>
        <w:outlineLvl w:val="2"/>
      </w:pPr>
      <w:r>
        <w:rPr>
          <w:rFonts w:ascii="仿宋_GB2312" w:hAnsi="仿宋_GB2312" w:cs="仿宋_GB2312" w:eastAsia="仿宋_GB2312"/>
          <w:sz w:val="28"/>
          <w:b/>
        </w:rPr>
        <w:t>潼关县林业局</w:t>
      </w:r>
    </w:p>
    <w:p>
      <w:pPr>
        <w:pStyle w:val="null3"/>
        <w:jc w:val="center"/>
        <w:outlineLvl w:val="2"/>
      </w:pPr>
      <w:r>
        <w:rPr>
          <w:rFonts w:ascii="仿宋_GB2312" w:hAnsi="仿宋_GB2312" w:cs="仿宋_GB2312" w:eastAsia="仿宋_GB2312"/>
          <w:sz w:val="28"/>
          <w:b/>
        </w:rPr>
        <w:t>中昕国际项目管理有限公司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中昕国际项目管理有限公司</w:t>
      </w:r>
      <w:r>
        <w:rPr>
          <w:rFonts w:ascii="仿宋_GB2312" w:hAnsi="仿宋_GB2312" w:cs="仿宋_GB2312" w:eastAsia="仿宋_GB2312"/>
        </w:rPr>
        <w:t>（以下简称“代理机构”）受</w:t>
      </w:r>
      <w:r>
        <w:rPr>
          <w:rFonts w:ascii="仿宋_GB2312" w:hAnsi="仿宋_GB2312" w:cs="仿宋_GB2312" w:eastAsia="仿宋_GB2312"/>
        </w:rPr>
        <w:t>潼关县林业局</w:t>
      </w:r>
      <w:r>
        <w:rPr>
          <w:rFonts w:ascii="仿宋_GB2312" w:hAnsi="仿宋_GB2312" w:cs="仿宋_GB2312" w:eastAsia="仿宋_GB2312"/>
        </w:rPr>
        <w:t>委托，拟对</w:t>
      </w:r>
      <w:r>
        <w:rPr>
          <w:rFonts w:ascii="仿宋_GB2312" w:hAnsi="仿宋_GB2312" w:cs="仿宋_GB2312" w:eastAsia="仿宋_GB2312"/>
        </w:rPr>
        <w:t>潼关县2026年重点野生动植物保护(野生鸟类监测保护)项目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ZX-ZC-TG-2026-026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潼关县2026年重点野生动植物保护(野生鸟类监测保护)项目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潼关县2026年重点野生动物保护（野生鸟类监测保护）项目。项目主要建设内容：布设6条样线开展重点保护野生动物资源调查与监测、数据处理等，编制形成调查监测报告;制作安装保护警示牌10块;开展鸟类救助与应急处置，布设救助点3个等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采购包1（潼关县2026年重点野生动物保护（野生鸟类监测保护）项目）：属于专门面向中小企业采购。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或法定代表人身份证明：供应商应授权合法的人员参加磋商全过程，其中法定代表人（或负责人）直接参加磋商的，须出具法定代表人（或负责人）身份证明，并与营业执照上信息一致；法定代表人（或负责人）授权代表参加磋商的，须出具法定代表人（或负责人）授权书及授权代表身份证明；</w:t>
      </w:r>
    </w:p>
    <w:p>
      <w:pPr>
        <w:pStyle w:val="null3"/>
      </w:pPr>
      <w:r>
        <w:rPr>
          <w:rFonts w:ascii="仿宋_GB2312" w:hAnsi="仿宋_GB2312" w:cs="仿宋_GB2312" w:eastAsia="仿宋_GB2312"/>
        </w:rPr>
        <w:t>2、信用信息：供应商未列入“信用中国”网站(www.creditchina.gov.cn)失信被执行人、重大税收违法失信主体、政府采购严重违法失信行为记录名单和“中国政府采购网”(www.ccgp.gov.cn)政府采购严重违法失信行为信息记录；</w:t>
      </w:r>
    </w:p>
    <w:p>
      <w:pPr>
        <w:pStyle w:val="null3"/>
      </w:pPr>
      <w:r>
        <w:rPr>
          <w:rFonts w:ascii="仿宋_GB2312" w:hAnsi="仿宋_GB2312" w:cs="仿宋_GB2312" w:eastAsia="仿宋_GB2312"/>
        </w:rPr>
        <w:t>3、供应商不得存在的情形：单位负责人为同一人或者存在直接控股、管理关系的不同供应商，不得参加同一合同项下的政府采购活动。</w:t>
      </w:r>
    </w:p>
    <w:p>
      <w:pPr>
        <w:pStyle w:val="null3"/>
      </w:pPr>
      <w:r>
        <w:rPr>
          <w:rFonts w:ascii="仿宋_GB2312" w:hAnsi="仿宋_GB2312" w:cs="仿宋_GB2312" w:eastAsia="仿宋_GB2312"/>
        </w:rPr>
        <w:t>4、是否允许联合体投标：本项目不接受联合体投标。</w:t>
      </w:r>
    </w:p>
    <w:p>
      <w:pPr>
        <w:pStyle w:val="null3"/>
      </w:pPr>
      <w:r>
        <w:rPr>
          <w:rFonts w:ascii="仿宋_GB2312" w:hAnsi="仿宋_GB2312" w:cs="仿宋_GB2312" w:eastAsia="仿宋_GB2312"/>
        </w:rPr>
        <w:t>5、磋商保证金：磋商保证金缴纳凭证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潼关县林业局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潼关县中心街西段198号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吕磊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18009137122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中昕国际项目管理有限公司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陕西省西安市未央区西安经济技术开发区凤城十二路首创禧悦里25幢A座16层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房雪姣、王海英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18706883731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潼关县政府采购管理股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南毅</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18309130933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开户名称：中昕国际项目管理有限公司</w:t>
            </w:r>
          </w:p>
          <w:p>
            <w:pPr>
              <w:pStyle w:val="null3"/>
            </w:pPr>
            <w:r>
              <w:rPr>
                <w:rFonts w:ascii="仿宋_GB2312" w:hAnsi="仿宋_GB2312" w:cs="仿宋_GB2312" w:eastAsia="仿宋_GB2312"/>
              </w:rPr>
              <w:t>开户银行：平安银行西安经济技术开发区支行</w:t>
            </w:r>
          </w:p>
          <w:p>
            <w:pPr>
              <w:pStyle w:val="null3"/>
            </w:pPr>
            <w:r>
              <w:rPr>
                <w:rFonts w:ascii="仿宋_GB2312" w:hAnsi="仿宋_GB2312" w:cs="仿宋_GB2312" w:eastAsia="仿宋_GB2312"/>
              </w:rPr>
              <w:t>银行账号：30201687008600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计价格﹝2002﹞1980号、发改价格﹝2011﹞534号⽂件的计费标准，以成交（成交）价为基数计算，按照标准收取。由成交供应商在领取成交通知书前，⼀次性向采购代理机构缴纳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潼关县林业局</w:t>
      </w:r>
      <w:r>
        <w:rPr>
          <w:rFonts w:ascii="仿宋_GB2312" w:hAnsi="仿宋_GB2312" w:cs="仿宋_GB2312" w:eastAsia="仿宋_GB2312"/>
        </w:rPr>
        <w:t>和</w:t>
      </w:r>
      <w:r>
        <w:rPr>
          <w:rFonts w:ascii="仿宋_GB2312" w:hAnsi="仿宋_GB2312" w:cs="仿宋_GB2312" w:eastAsia="仿宋_GB2312"/>
        </w:rPr>
        <w:t>中昕国际项目管理有限公司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潼关县林业局</w:t>
      </w:r>
      <w:r>
        <w:rPr>
          <w:rFonts w:ascii="仿宋_GB2312" w:hAnsi="仿宋_GB2312" w:cs="仿宋_GB2312" w:eastAsia="仿宋_GB2312"/>
        </w:rPr>
        <w:t>负责解释。除上述磋商文件内容，其他内容由</w:t>
      </w:r>
      <w:r>
        <w:rPr>
          <w:rFonts w:ascii="仿宋_GB2312" w:hAnsi="仿宋_GB2312" w:cs="仿宋_GB2312" w:eastAsia="仿宋_GB2312"/>
        </w:rPr>
        <w:t>中昕国际项目管理有限公司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潼关县林业局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中昕国际项目管理有限公司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实施过程中采⽤⾃有或者第三⽅知识成果的，使⽤该知识成果后，供应商需提供开发接⼝和开发⼿册等技术资料，并承诺提供⽆限期⽀持，采购⼈享有使⽤权(含采购⼈委托第三⽅在该项⽬后续开发的使⽤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按照国家标准及合同要求执行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联系人：房雪姣、王海英</w:t>
      </w:r>
    </w:p>
    <w:p>
      <w:pPr>
        <w:pStyle w:val="null3"/>
      </w:pPr>
      <w:r>
        <w:rPr>
          <w:rFonts w:ascii="仿宋_GB2312" w:hAnsi="仿宋_GB2312" w:cs="仿宋_GB2312" w:eastAsia="仿宋_GB2312"/>
        </w:rPr>
        <w:t>联系电话：18706883731</w:t>
      </w:r>
    </w:p>
    <w:p>
      <w:pPr>
        <w:pStyle w:val="null3"/>
      </w:pPr>
      <w:r>
        <w:rPr>
          <w:rFonts w:ascii="仿宋_GB2312" w:hAnsi="仿宋_GB2312" w:cs="仿宋_GB2312" w:eastAsia="仿宋_GB2312"/>
        </w:rPr>
        <w:t>地址：陕西省西安市未央区西安经济技术开发区凤城十二路首创禧悦里25幢A座16层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布设6条样线开展重点保护野生动物资源调查与监测、数据处理等，编制形成调查监测报告;制作安装保护警示牌10块;开展鸟类救助与应急处置，布设救助点3个等内容。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潼关县2026年重点野生动植物保护(野生鸟类监测保护)项目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标的名称：潼关县2026年重点野生动植物保护(野生鸟类监测保护)项目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1.服务地点</w:t>
            </w:r>
          </w:p>
          <w:p>
            <w:pPr>
              <w:pStyle w:val="null3"/>
              <w:jc w:val="both"/>
            </w:pPr>
            <w:r>
              <w:rPr>
                <w:rFonts w:ascii="仿宋_GB2312" w:hAnsi="仿宋_GB2312" w:cs="仿宋_GB2312" w:eastAsia="仿宋_GB2312"/>
                <w:sz w:val="21"/>
              </w:rPr>
              <w:t>陕西潼关黄河国家湿地公园，主要区域为范围内黄河、渭河湿地</w:t>
            </w:r>
            <w:r>
              <w:rPr>
                <w:rFonts w:ascii="仿宋_GB2312" w:hAnsi="仿宋_GB2312" w:cs="仿宋_GB2312" w:eastAsia="仿宋_GB2312"/>
                <w:sz w:val="21"/>
              </w:rPr>
              <w:t>及沿岸滩涂、林地、农田等侯鸟重点停歇区。</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2.项目内容及规模</w:t>
            </w:r>
          </w:p>
          <w:p>
            <w:pPr>
              <w:pStyle w:val="null3"/>
            </w:pPr>
            <w:r>
              <w:rPr>
                <w:rFonts w:ascii="仿宋_GB2312" w:hAnsi="仿宋_GB2312" w:cs="仿宋_GB2312" w:eastAsia="仿宋_GB2312"/>
                <w:sz w:val="21"/>
              </w:rPr>
              <w:t>潼关县2026年重点野生动物保护（野生鸟类监测保护）项目。项目主要建设内容：布设6条样线开展重点保护野生动物资源调查与监测、数据处理等，编制形成调查监测报告;制作安装保护警示牌10块;开展鸟类救助与应急处置，布设救助点3个等内容。</w:t>
            </w:r>
          </w:p>
          <w:p>
            <w:pPr>
              <w:pStyle w:val="null3"/>
            </w:pPr>
            <w:r>
              <w:rPr>
                <w:rFonts w:ascii="仿宋_GB2312" w:hAnsi="仿宋_GB2312" w:cs="仿宋_GB2312" w:eastAsia="仿宋_GB2312"/>
                <w:sz w:val="21"/>
              </w:rPr>
              <w:t>1国家重点保护迁徙鸟类专项调查监测</w:t>
            </w:r>
          </w:p>
          <w:p>
            <w:pPr>
              <w:pStyle w:val="null3"/>
            </w:pPr>
            <w:r>
              <w:rPr>
                <w:rFonts w:ascii="仿宋_GB2312" w:hAnsi="仿宋_GB2312" w:cs="仿宋_GB2312" w:eastAsia="仿宋_GB2312"/>
                <w:sz w:val="21"/>
              </w:rPr>
              <w:t>(1)样线布设方法样线布设遵循“全覆盖、代表性、可操作”原则，结合陕西潼关黄河国家湿地公园滩涂、农田等不同生境类型，均匀布设6条监测样线，每条样线长度约3公里，预设样线总长度21.57公里，样线间距不小于1公里，避免区域重叠，确保覆盖所有候鸟重点停歇区域。样线单侧宽度50-150米，调查覆盖面积约216公顷，占调查区总面积比例为20.9%。</w:t>
            </w:r>
          </w:p>
          <w:p>
            <w:pPr>
              <w:pStyle w:val="null3"/>
            </w:pPr>
            <w:r>
              <w:rPr>
                <w:rFonts w:ascii="仿宋_GB2312" w:hAnsi="仿宋_GB2312" w:cs="仿宋_GB2312" w:eastAsia="仿宋_GB2312"/>
                <w:sz w:val="21"/>
              </w:rPr>
              <w:t>样线布设方法:采用GPS定位技术，确定每条样线的起点、终点及途经点位，绘制样线布设图，明确样线途经的生境类型(湿地、林地、滩涂等)，同步记录样线周边的人为干扰源(道路、村庄、景点等)，为后续监测数据校正提供依据。</w:t>
            </w:r>
          </w:p>
          <w:p>
            <w:pPr>
              <w:pStyle w:val="null3"/>
            </w:pPr>
            <w:r>
              <w:rPr>
                <w:rFonts w:ascii="仿宋_GB2312" w:hAnsi="仿宋_GB2312" w:cs="仿宋_GB2312" w:eastAsia="仿宋_GB2312"/>
                <w:sz w:val="21"/>
              </w:rPr>
              <w:t>样线固定要求:调查监测过程中，样线的起点、终点、途经路线保持不变，如需调整，需详细记录调整原因、调整前后的坐标及路线。</w:t>
            </w:r>
          </w:p>
          <w:p>
            <w:pPr>
              <w:pStyle w:val="null3"/>
            </w:pPr>
            <w:r>
              <w:rPr>
                <w:rFonts w:ascii="仿宋_GB2312" w:hAnsi="仿宋_GB2312" w:cs="仿宋_GB2312" w:eastAsia="仿宋_GB2312"/>
                <w:sz w:val="21"/>
              </w:rPr>
              <w:t>(2)调查监测频次与时间要求</w:t>
            </w:r>
          </w:p>
          <w:p>
            <w:pPr>
              <w:pStyle w:val="null3"/>
            </w:pPr>
            <w:r>
              <w:rPr>
                <w:rFonts w:ascii="仿宋_GB2312" w:hAnsi="仿宋_GB2312" w:cs="仿宋_GB2312" w:eastAsia="仿宋_GB2312"/>
                <w:sz w:val="21"/>
              </w:rPr>
              <w:t>调查监测频次:秋季鸟类迁徙高峰期(9-11月)开展6次调查监测，冬季、夏季非迁徙期每季度开展1次调查监测;其中，迁徙高峰期的6次调查监测间隔不超过10天，确保精准捕捉候鸟过境动态。</w:t>
            </w:r>
          </w:p>
          <w:p>
            <w:pPr>
              <w:pStyle w:val="null3"/>
            </w:pPr>
            <w:r>
              <w:rPr>
                <w:rFonts w:ascii="仿宋_GB2312" w:hAnsi="仿宋_GB2312" w:cs="仿宋_GB2312" w:eastAsia="仿宋_GB2312"/>
                <w:sz w:val="21"/>
              </w:rPr>
              <w:t>调查监测时间:选择迁徙鸟类活动活跃的时段开展监测，秋季为每日6:00-9:00，避开雨天、大风、暴雪等恶劣天气，确保监测数据的准确性;每次监测时长不少于3小时。</w:t>
            </w:r>
          </w:p>
          <w:p>
            <w:pPr>
              <w:pStyle w:val="null3"/>
            </w:pPr>
            <w:r>
              <w:rPr>
                <w:rFonts w:ascii="仿宋_GB2312" w:hAnsi="仿宋_GB2312" w:cs="仿宋_GB2312" w:eastAsia="仿宋_GB2312"/>
                <w:sz w:val="21"/>
              </w:rPr>
              <w:t>调查监测记录要求:每次调查前，记录当天的阴晴雨雪等环境参数;调查监测过程中，实时记录监测时间、样线段落、鸟类出现的点位坐标，确保监测数据可追溯。</w:t>
            </w:r>
          </w:p>
          <w:p>
            <w:pPr>
              <w:pStyle w:val="null3"/>
            </w:pPr>
            <w:r>
              <w:rPr>
                <w:rFonts w:ascii="仿宋_GB2312" w:hAnsi="仿宋_GB2312" w:cs="仿宋_GB2312" w:eastAsia="仿宋_GB2312"/>
                <w:sz w:val="21"/>
              </w:rPr>
              <w:t>(3)调查监测内容与方法</w:t>
            </w:r>
            <w:r>
              <w:br/>
            </w:r>
            <w:r>
              <w:rPr>
                <w:rFonts w:ascii="仿宋_GB2312" w:hAnsi="仿宋_GB2312" w:cs="仿宋_GB2312" w:eastAsia="仿宋_GB2312"/>
                <w:sz w:val="21"/>
              </w:rPr>
              <w:t xml:space="preserve"> 种类与数量调查监测:监测对象主要为水生迁徙鸟类，采用“样线法+样点法+集群计数法”结合的方式。</w:t>
            </w:r>
            <w:r>
              <w:br/>
            </w:r>
            <w:r>
              <w:rPr>
                <w:rFonts w:ascii="仿宋_GB2312" w:hAnsi="仿宋_GB2312" w:cs="仿宋_GB2312" w:eastAsia="仿宋_GB2312"/>
                <w:sz w:val="21"/>
              </w:rPr>
              <w:t xml:space="preserve"> 样线法:监测人员沿预设样线均匀行进，速度控制在1-2公里/小时，行进过程中需保持安静、禁止喧哗，不得随意停留或偏离预设样线，避免人为干扰鸟类活动，观测时采用目视观察与双筒望远镜相结合的方式，重点对样线两侧50米范围内(视线可及区域)的鸟类进行种类识别和数量计数，同步详细记录鸟类的栖息行为、活动轨迹及所处具体生境，准确标注监测时间、行进里程及当日环境情况，严格按照统一标准规范填写调查表格，确保监测数据真实、完整、规范。</w:t>
            </w:r>
          </w:p>
          <w:p>
            <w:pPr>
              <w:pStyle w:val="null3"/>
            </w:pPr>
            <w:r>
              <w:rPr>
                <w:rFonts w:ascii="仿宋_GB2312" w:hAnsi="仿宋_GB2312" w:cs="仿宋_GB2312" w:eastAsia="仿宋_GB2312"/>
                <w:sz w:val="21"/>
              </w:rPr>
              <w:t>样点法:在样线途中选择适宜点位，监测人员抵达样点后，先安静静置减少惊扰，再固定停留10-15分钟专注观测，通过目视结合望远镜识别鸟类种类、统计数量，记录其栖息行为及所处生境，重点关注国家重点保护迁徙鸟类，同步标注监测时间、位置及环境情况，规范填写调查表格。</w:t>
            </w:r>
            <w:r>
              <w:br/>
            </w:r>
            <w:r>
              <w:rPr>
                <w:rFonts w:ascii="仿宋_GB2312" w:hAnsi="仿宋_GB2312" w:cs="仿宋_GB2312" w:eastAsia="仿宋_GB2312"/>
                <w:sz w:val="21"/>
              </w:rPr>
              <w:t xml:space="preserve"> 对集群栖息的候鸟，采用“集群直接计数法”，鸟群较大时将集群划分为若干小区，逐区计数后汇总，避免漏计、多计。</w:t>
            </w:r>
          </w:p>
          <w:p>
            <w:pPr>
              <w:pStyle w:val="null3"/>
            </w:pPr>
            <w:r>
              <w:rPr>
                <w:rFonts w:ascii="仿宋_GB2312" w:hAnsi="仿宋_GB2312" w:cs="仿宋_GB2312" w:eastAsia="仿宋_GB2312"/>
                <w:sz w:val="21"/>
              </w:rPr>
              <w:t>种群特征监测:记录鸟类的种类，对于易于识别的物种，通过羽毛颜色、体型大小等特征区分雌雄、成幼;对于难以现场识别的，采用长焦相机拍摄照片，后续由专业人员鉴定，确保数据准确。</w:t>
            </w:r>
            <w:r>
              <w:br/>
            </w:r>
            <w:r>
              <w:rPr>
                <w:rFonts w:ascii="仿宋_GB2312" w:hAnsi="仿宋_GB2312" w:cs="仿宋_GB2312" w:eastAsia="仿宋_GB2312"/>
                <w:sz w:val="21"/>
              </w:rPr>
              <w:t xml:space="preserve"> 行为与动态监测:记录国家重点保护迁徙鸟类的行为(觅食、栖息、飞行、繁殖等)，对于重点保护物种，跟踪记录其活动范围、觅食偏好;采用录音笔记录鸟类鸣声，结合鸣声识别技术，辅助物种鉴定。</w:t>
            </w:r>
            <w:r>
              <w:br/>
            </w:r>
            <w:r>
              <w:rPr>
                <w:rFonts w:ascii="仿宋_GB2312" w:hAnsi="仿宋_GB2312" w:cs="仿宋_GB2312" w:eastAsia="仿宋_GB2312"/>
                <w:sz w:val="21"/>
              </w:rPr>
              <w:t xml:space="preserve"> 栖息环境与干扰监测:同步记录样线周边的生境类型，采用目视估算法记录植被覆盖度(分为高、中、低三级);排查迁徙期人为</w:t>
            </w:r>
            <w:r>
              <w:rPr>
                <w:rFonts w:ascii="仿宋_GB2312" w:hAnsi="仿宋_GB2312" w:cs="仿宋_GB2312" w:eastAsia="仿宋_GB2312"/>
                <w:sz w:val="21"/>
              </w:rPr>
              <w:t>干</w:t>
            </w:r>
            <w:r>
              <w:rPr>
                <w:rFonts w:ascii="仿宋_GB2312" w:hAnsi="仿宋_GB2312" w:cs="仿宋_GB2312" w:eastAsia="仿宋_GB2312"/>
                <w:sz w:val="21"/>
              </w:rPr>
              <w:t>扰因素，记录干扰类型、</w:t>
            </w:r>
            <w:r>
              <w:rPr>
                <w:rFonts w:ascii="仿宋_GB2312" w:hAnsi="仿宋_GB2312" w:cs="仿宋_GB2312" w:eastAsia="仿宋_GB2312"/>
                <w:sz w:val="21"/>
              </w:rPr>
              <w:t>干</w:t>
            </w:r>
            <w:r>
              <w:rPr>
                <w:rFonts w:ascii="仿宋_GB2312" w:hAnsi="仿宋_GB2312" w:cs="仿宋_GB2312" w:eastAsia="仿宋_GB2312"/>
                <w:sz w:val="21"/>
              </w:rPr>
              <w:t>扰强度及</w:t>
            </w:r>
            <w:r>
              <w:rPr>
                <w:rFonts w:ascii="仿宋_GB2312" w:hAnsi="仿宋_GB2312" w:cs="仿宋_GB2312" w:eastAsia="仿宋_GB2312"/>
                <w:sz w:val="21"/>
              </w:rPr>
              <w:t>干</w:t>
            </w:r>
            <w:r>
              <w:rPr>
                <w:rFonts w:ascii="仿宋_GB2312" w:hAnsi="仿宋_GB2312" w:cs="仿宋_GB2312" w:eastAsia="仿宋_GB2312"/>
                <w:sz w:val="21"/>
              </w:rPr>
              <w:t>扰频次，采用拍照、录像等方式留存佐证资料。</w:t>
            </w:r>
          </w:p>
          <w:p>
            <w:pPr>
              <w:pStyle w:val="null3"/>
            </w:pPr>
            <w:r>
              <w:rPr>
                <w:rFonts w:ascii="仿宋_GB2312" w:hAnsi="仿宋_GB2312" w:cs="仿宋_GB2312" w:eastAsia="仿宋_GB2312"/>
                <w:sz w:val="21"/>
              </w:rPr>
              <w:t>2重要停歇点宣传保护</w:t>
            </w:r>
          </w:p>
          <w:p>
            <w:pPr>
              <w:pStyle w:val="null3"/>
            </w:pPr>
            <w:r>
              <w:rPr>
                <w:rFonts w:ascii="仿宋_GB2312" w:hAnsi="仿宋_GB2312" w:cs="仿宋_GB2312" w:eastAsia="仿宋_GB2312"/>
                <w:sz w:val="21"/>
              </w:rPr>
              <w:t>(1)警示标识布设方法</w:t>
            </w:r>
            <w:r>
              <w:br/>
            </w:r>
            <w:r>
              <w:rPr>
                <w:rFonts w:ascii="仿宋_GB2312" w:hAnsi="仿宋_GB2312" w:cs="仿宋_GB2312" w:eastAsia="仿宋_GB2312"/>
                <w:sz w:val="21"/>
              </w:rPr>
              <w:t xml:space="preserve"> 选址技术要求:结合今年监测样线的监测结果，选择候鸟活动频繁、人为干扰较多的停歇点(陕西潼关黄河国家湿地公园沿岸滩涂、树林周边、候鸟觅食集中区)布设10块警示牌，每块警示牌间距不小于1公里，确保醒目、易见，避开洪水淹没区、陡坡等危险区域。警示牌制作规范:警示牌采用不锈钢木纹转印工艺，尺寸为120cmx80cm，厚度不小于5mm，不易破损、褪色;正面标注醒目提醒及禁止类文字，搭配鸟类图案;背面标注相关法律法规条款、举报电话，确保内容规范、易懂。</w:t>
            </w:r>
            <w:r>
              <w:br/>
            </w:r>
            <w:r>
              <w:rPr>
                <w:rFonts w:ascii="仿宋_GB2312" w:hAnsi="仿宋_GB2312" w:cs="仿宋_GB2312" w:eastAsia="仿宋_GB2312"/>
                <w:sz w:val="21"/>
              </w:rPr>
              <w:t xml:space="preserve"> (2)安装技术要求</w:t>
            </w:r>
            <w:r>
              <w:br/>
            </w:r>
            <w:r>
              <w:rPr>
                <w:rFonts w:ascii="仿宋_GB2312" w:hAnsi="仿宋_GB2312" w:cs="仿宋_GB2312" w:eastAsia="仿宋_GB2312"/>
                <w:sz w:val="21"/>
              </w:rPr>
              <w:t xml:space="preserve"> 警示牌以地面插入式、墙面挂载式等方式固定，确保警示牌稳固，抗风;安装高度为1.5-2米，确保成年人可清晰阅读;安装完成后，检查警示牌垂直度、牢固度，拍摄安装现场照片，记录安装时间、位置坐标。</w:t>
            </w:r>
          </w:p>
          <w:p>
            <w:pPr>
              <w:pStyle w:val="null3"/>
            </w:pPr>
            <w:r>
              <w:rPr>
                <w:rFonts w:ascii="仿宋_GB2312" w:hAnsi="仿宋_GB2312" w:cs="仿宋_GB2312" w:eastAsia="仿宋_GB2312"/>
                <w:sz w:val="21"/>
              </w:rPr>
              <w:t>3野生鸟类救护与应急处置</w:t>
            </w:r>
          </w:p>
          <w:p>
            <w:pPr>
              <w:pStyle w:val="null3"/>
            </w:pPr>
            <w:r>
              <w:rPr>
                <w:rFonts w:ascii="仿宋_GB2312" w:hAnsi="仿宋_GB2312" w:cs="仿宋_GB2312" w:eastAsia="仿宋_GB2312"/>
                <w:sz w:val="21"/>
              </w:rPr>
              <w:t>(1)救护合作与联动机制</w:t>
            </w:r>
          </w:p>
          <w:p>
            <w:pPr>
              <w:pStyle w:val="null3"/>
            </w:pPr>
            <w:r>
              <w:rPr>
                <w:rFonts w:ascii="仿宋_GB2312" w:hAnsi="仿宋_GB2312" w:cs="仿宋_GB2312" w:eastAsia="仿宋_GB2312"/>
                <w:sz w:val="21"/>
              </w:rPr>
              <w:t>确定合作单位:与具备野生动物救护资质单位、动物疫情监测站、当地兽医站等签订救护合作协议，明确各方权责。专业单位提供专业救护技术指导、伤病鸟类鉴定及复杂病例处置，当地兽医站负责协助开展简易救护、药品使用指导。潼关县林业局负责统筹协调、资金保障，保护中心负责具体组织实施。</w:t>
            </w:r>
            <w:r>
              <w:br/>
            </w:r>
            <w:r>
              <w:rPr>
                <w:rFonts w:ascii="仿宋_GB2312" w:hAnsi="仿宋_GB2312" w:cs="仿宋_GB2312" w:eastAsia="仿宋_GB2312"/>
                <w:sz w:val="21"/>
              </w:rPr>
              <w:t xml:space="preserve"> 建立交接流程与管理制度:制定《野生鸟类应急救护交接管理办法》，明确伤病鸟类接收、鉴定、处置、移交、放归的全流程交接手续，明确各环节责任主体、办理时限;建立救护台账管理制度、药品设备管理制度，确保救护工作规范化、可追溯。</w:t>
            </w:r>
            <w:r>
              <w:br/>
            </w:r>
            <w:r>
              <w:rPr>
                <w:rFonts w:ascii="仿宋_GB2312" w:hAnsi="仿宋_GB2312" w:cs="仿宋_GB2312" w:eastAsia="仿宋_GB2312"/>
                <w:sz w:val="21"/>
              </w:rPr>
              <w:t xml:space="preserve"> 设立救护点:依托当地管护站、兽医站等场所，设立3个野生鸟类救护点，对伤病鸟类安排救护人员(或志愿者)前往现场救护，对伤病较轻的鸟类，由救护点进行临时救护;对伤病较重、无法自主存活的，及时移交上级野生动物救助中心;对治愈后可放归的，选择合适的栖息地进行放归，全程记录处置过程。</w:t>
            </w:r>
            <w:r>
              <w:br/>
            </w:r>
            <w:r>
              <w:rPr>
                <w:rFonts w:ascii="仿宋_GB2312" w:hAnsi="仿宋_GB2312" w:cs="仿宋_GB2312" w:eastAsia="仿宋_GB2312"/>
                <w:sz w:val="21"/>
              </w:rPr>
              <w:t xml:space="preserve"> (2)救护物品配置与使用</w:t>
            </w:r>
          </w:p>
          <w:p>
            <w:pPr>
              <w:pStyle w:val="null3"/>
            </w:pPr>
            <w:r>
              <w:rPr>
                <w:rFonts w:ascii="仿宋_GB2312" w:hAnsi="仿宋_GB2312" w:cs="仿宋_GB2312" w:eastAsia="仿宋_GB2312"/>
                <w:sz w:val="21"/>
              </w:rPr>
              <w:t>每个救护点物品配置明细:简易救护笼具3个(含高强度钢丝猛禽专用笼1个，普通鸟笼2个);运输箱2个(小型1个，中型1个，适配不同体型鸟类转运);消毒用品(84消毒液3桶，25kg/桶;75%酒精10瓶，500m1/瓶;碘伏10瓶，500m1/瓶;双氧水10瓶，500m1/瓶);常用药品(恩诺沙星溶液10瓶，瘟立停10盒，蒙脱石散10盒，电解质10瓶，美蓝、解磷定特效解毒药各2盒，止血粉2盒);急救箱1个(含基础包扎、止血器材);药品柜1个(用于鸟类药品规范存放)。</w:t>
            </w:r>
            <w:r>
              <w:br/>
            </w:r>
            <w:r>
              <w:rPr>
                <w:rFonts w:ascii="仿宋_GB2312" w:hAnsi="仿宋_GB2312" w:cs="仿宋_GB2312" w:eastAsia="仿宋_GB2312"/>
                <w:sz w:val="21"/>
              </w:rPr>
              <w:t xml:space="preserve"> 物品使用要求:救护笼具根据鸟类体型选择，猛禽使用专用高强度钢丝笼，避免被啄破;消毒用品按比例稀释后使用，84消毒液稀释比例为1:100，用于笼具、救护场地消毒，每日消毒1次;药品使用严格遵循医嘱及药品说明书，由专业兽医或经培训的救护人员操作，做好药品使用记录，避免用药不当造成二次伤害;运输箱内铺设柔软的干草或毛巾，减少鸟类转运过程中的应激反应，转运过程中避免剧烈颠簸、暴晒、低温。</w:t>
            </w:r>
            <w:r>
              <w:br/>
            </w:r>
            <w:r>
              <w:rPr>
                <w:rFonts w:ascii="仿宋_GB2312" w:hAnsi="仿宋_GB2312" w:cs="仿宋_GB2312" w:eastAsia="仿宋_GB2312"/>
                <w:sz w:val="21"/>
              </w:rPr>
              <w:t xml:space="preserve"> 物品管理:建立救护物品管理台账，记录物品名称、数量、采购时间、使用情况、库存数量;药品按有效期分类存放于药品柜，及时更换过期药品;笼具、运输箱等设备使用后及时消毒、清洗、存放，定期检查维护。</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3.（1）国家重点保护迁徙鸟类专项调查监测：候鸟专项调查监测在陕西潼关黄河国家湿地公园侯鸟迁徙核心区域，布设6条监测样线，覆盖湿地公园范围内黄河、渭河湿地及沿岸滩涂、林地、农田等候鸟分布重点区域，调查监测周期为秋季鸟类迁徙高峰期(9-11月)开展6次、冬季、夏季非迁徙期每季度开展1次，全年开展8次调查监测，重复调查样线48条，记录候鸟种类、数量及栖息环境，分析总结潼关县候鸟迁徙动态。</w:t>
            </w:r>
          </w:p>
          <w:p>
            <w:pPr>
              <w:pStyle w:val="null3"/>
            </w:pPr>
            <w:r>
              <w:rPr>
                <w:rFonts w:ascii="仿宋_GB2312" w:hAnsi="仿宋_GB2312" w:cs="仿宋_GB2312" w:eastAsia="仿宋_GB2312"/>
                <w:sz w:val="21"/>
              </w:rPr>
              <w:t>（2）重要停歇点宣传保护：重要停歇点宣传保护在候鸟活动频繁、人为干扰较多的重要停歇点，完成10块保护警示牌的制作与安装，标注保护标语及举报电话，定期检查维护。</w:t>
            </w:r>
          </w:p>
          <w:p>
            <w:pPr>
              <w:pStyle w:val="null3"/>
            </w:pPr>
            <w:r>
              <w:rPr>
                <w:rFonts w:ascii="仿宋_GB2312" w:hAnsi="仿宋_GB2312" w:cs="仿宋_GB2312" w:eastAsia="仿宋_GB2312"/>
                <w:sz w:val="21"/>
              </w:rPr>
              <w:t>（3）野生鸟类救护与应急处置：野生鸟类救护在现有设施基础上，协同设置3个野生鸟类救助点，配备笼具、药品等简易救护物品，并与专业救护单位、动物疫情监测站、兽医站等单位合作，开展伤病鸟类临时救护工作。</w:t>
            </w:r>
          </w:p>
          <w:p>
            <w:pPr>
              <w:pStyle w:val="null3"/>
            </w:pPr>
            <w:r>
              <w:rPr>
                <w:rFonts w:ascii="仿宋_GB2312" w:hAnsi="仿宋_GB2312" w:cs="仿宋_GB2312" w:eastAsia="仿宋_GB2312"/>
                <w:sz w:val="21"/>
              </w:rPr>
              <w:t>（4）成果编制：数据处理与报告编制，</w:t>
            </w:r>
            <w:r>
              <w:rPr>
                <w:rFonts w:ascii="仿宋_GB2312" w:hAnsi="仿宋_GB2312" w:cs="仿宋_GB2312" w:eastAsia="仿宋_GB2312"/>
                <w:sz w:val="21"/>
              </w:rPr>
              <w:t>汇总项目期候鸟监测、宣传保护、救护等工作，分析项目实施成效与存在问题，编制《潼关县2026年国家重点保护候鸟监测保护报告》，主要包括国家重点保护候鸟调查监测结果、保护工作实施情况、项目实施成效分析、存在问题与不足等，并提出针对性保护建议。</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根据项目需求配置相应人员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根据项目需求配置相应设施设备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自合同签订之日起12个月。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采购人指定的地点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按照国家标准及合同要求执行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预付款，合同签订生效后，达到付款条件起7个工作日内，支付合同总金额的30.0%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进度款，当服务任务完成50%以上，达到付款条件起7个工作日内，支付合同总金额的40.0%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进度款，经主管部门审核通过后，达到付款条件起7个工作日内，支付合同总金额的30.0%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按照国家标准及合同要求执行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1、供应商应保证其提供的资料真实有效。 2、中标（成交）供应商在领取中标（成交）通知书时提供一正两副纸质投标文件（与电子投标文件一致的签字、盖章的完整版本），纸质投标文件采用书籍（胶装）方式装订成册。 3、若采用保函形式缴纳保证金的供应商，需在文件递交截止之日前，将保函原件交至代理公司。</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1.1供应商应具备独立承担民事责任能力的法人、其他组织或自然人，提供合法有效的统一社会信用代码的营业执照副本或相关证明（自然人提供身份证复印件）； 1.2提供具有财务审计资质单位出具的2025年度的财务报告或响应文件提交截止时间前六个月内其基本账户银行出具的资信证明； 1.3供应商提供响应文件提交截止时间前一年内任意一个月的社会保障资金缴存证明或社保机构开具的社会保险参保缴费情况证明； 1.4供应商提供响应文件提交截止时间前一年内任意一个月的依法缴纳税收的相关证明，依法免税需提供相关证明材料； 1.5提供供应商参加政府采购活动前三年内在经营活动中没有重大违法记录的声明； 1.6提供具有履行合同所必需的设备和专业技术能力的声明。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法定代表人授权书或法定代表人身份证明</w:t>
            </w:r>
          </w:p>
        </w:tc>
        <w:tc>
          <w:tcPr>
            <w:tcW w:type="dxa" w:w="3322"/>
          </w:tcPr>
          <w:p>
            <w:pPr>
              <w:pStyle w:val="null3"/>
            </w:pPr>
            <w:r>
              <w:rPr>
                <w:rFonts w:ascii="仿宋_GB2312" w:hAnsi="仿宋_GB2312" w:cs="仿宋_GB2312" w:eastAsia="仿宋_GB2312"/>
              </w:rPr>
              <w:t>供应商应授权合法的人员参加磋商全过程，其中法定代表人（或负责人）直接参加磋商的，须出具法定代表人（或负责人）身份证明，并与营业执照上信息一致；法定代表人（或负责人）授权代表参加磋商的，须出具法定代表人（或负责人）授权书及授权代表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供应商未列入“信用中国”网站(www.creditchina.gov.cn)失信被执行人、重大税收违法失信主体、政府采购严重违法失信行为记录名单和“中国政府采购网”(www.ccgp.gov.cn)政府采购严重违法失信行为信息记录；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供应商不得存在的情形</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是否允许联合体投标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磋商保证金缴纳凭证</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磋商响应文件签字、盖章</w:t>
            </w:r>
          </w:p>
        </w:tc>
        <w:tc>
          <w:tcPr>
            <w:tcW w:type="dxa" w:w="1661"/>
          </w:tcPr>
          <w:p>
            <w:pPr>
              <w:pStyle w:val="null3"/>
            </w:pPr>
            <w:r>
              <w:rPr>
                <w:rFonts w:ascii="仿宋_GB2312" w:hAnsi="仿宋_GB2312" w:cs="仿宋_GB2312" w:eastAsia="仿宋_GB2312"/>
              </w:rPr>
              <w:t>响应文件封面 分项报价表.docx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供应商磋商报价未出现选择性报价，未超出采购最高限价</w:t>
            </w:r>
          </w:p>
        </w:tc>
        <w:tc>
          <w:tcPr>
            <w:tcW w:type="dxa" w:w="1661"/>
          </w:tcPr>
          <w:p>
            <w:pPr>
              <w:pStyle w:val="null3"/>
            </w:pPr>
            <w:r>
              <w:rPr>
                <w:rFonts w:ascii="仿宋_GB2312" w:hAnsi="仿宋_GB2312" w:cs="仿宋_GB2312" w:eastAsia="仿宋_GB2312"/>
              </w:rPr>
              <w:t>响应文件封面 分项报价表.docx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响应有效期满足磋商文件的要求</w:t>
            </w:r>
          </w:p>
        </w:tc>
        <w:tc>
          <w:tcPr>
            <w:tcW w:type="dxa" w:w="1661"/>
          </w:tcPr>
          <w:p>
            <w:pPr>
              <w:pStyle w:val="null3"/>
            </w:pPr>
            <w:r>
              <w:rPr>
                <w:rFonts w:ascii="仿宋_GB2312" w:hAnsi="仿宋_GB2312" w:cs="仿宋_GB2312" w:eastAsia="仿宋_GB2312"/>
              </w:rPr>
              <w:t>响应文件封面 商务应答表 供应商应提交的相关资格证明材料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服务期满足或优于采购要求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除明确允许供应商可以自行编写的外，磋商响应文件是否按照磋商文件给定的格式和要求编制</w:t>
            </w:r>
          </w:p>
        </w:tc>
        <w:tc>
          <w:tcPr>
            <w:tcW w:type="dxa" w:w="1661"/>
          </w:tcPr>
          <w:p>
            <w:pPr>
              <w:pStyle w:val="null3"/>
            </w:pPr>
            <w:r>
              <w:rPr>
                <w:rFonts w:ascii="仿宋_GB2312" w:hAnsi="仿宋_GB2312" w:cs="仿宋_GB2312" w:eastAsia="仿宋_GB2312"/>
              </w:rPr>
              <w:t>响应文件封面 分项报价表.docx 中小企业声明函 残疾人福利性单位声明函 商务应答表 服务方案 供应商应提交的相关资格证明材料 服务内容及服务要求应答表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评审得分相同的，按照最后报价由低到高的顺序推荐。评审得分且最后报价相同的，按照技术指标优劣顺序推荐。评审得分且最后报价且技术指标得分均相同的，有评审专家无记名投票决定。</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1、评审内容：包含但不限于①野生鸟类监测及报告编制方案②监测系统购置安装及数据展示方案③应急演练及业务培训方案④警示牌设立方案； 2、评审方法：①完整性:内容全面，对评审内容中的各项要求有详细描述:②可实施性:内容符合要求，合理，可实施性强:③.针对性:能够紧扣项目实际情况，满足具体要求。 3、赋分标准(40分): ①每一项评审内容完全满足评审标准得10分; ②每一项评审内容，若存在不明确、不合理、不完整、针对性不强等方面，扣1分; ③每一项评审内容不提供或完全背离评审标准得0分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1、评审内容：①承诺严格按照磋商文件及实施方案履约，明确项目完成时限（贴合采购需求），②质量保障承诺③安全保障承诺④合规履约承诺⑤应对项目实施过程中的突发情况。 2、评审标准：①.完整性:内容全面，对评审内容中的各项要求有详细描述:②.可实施性:内容符合要求，合理，可实施性强:③.针对性:能够紧扣项目实际情况，满足具体要求。 3、赋分标准(20分): ①每一项评审内容完全满足评审标准得5分; ②每一项评审内容，若存在不明确、不合理、不完整、针对性不强等方面，扣0.5分; ③每一项评审内容不提供或完全背离评审标准得0分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1、评审内容： 根据项目实际需求提供售后服务方案。内容包含：①售后服务范围及保障措施②培训服务方案③故障处理及补救措施④定期回访及维护。 2、评审标准： ①.完整性：方案须全面，对评审内容中的各项要求有详细描述； ②.可实施性：切合本项目实际情况，提出步骤清晰、合理的方案； ③.针对性：方案能够紧扣项目实际情况，内容科学合理。 3、赋分标准（18分）： ①每一项评审内容完全满足评审标准得4.5分; ②每一项评审内容，若存在不明确、不合理、不完整、针对性不强等方面，扣0.5分; ③每一项评审内容不提供或完全背离评审标准得0分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拟派服务团队</w:t>
            </w:r>
          </w:p>
        </w:tc>
        <w:tc>
          <w:tcPr>
            <w:tcW w:type="dxa" w:w="2492"/>
          </w:tcPr>
          <w:p>
            <w:pPr>
              <w:pStyle w:val="null3"/>
            </w:pPr>
            <w:r>
              <w:rPr>
                <w:rFonts w:ascii="仿宋_GB2312" w:hAnsi="仿宋_GB2312" w:cs="仿宋_GB2312" w:eastAsia="仿宋_GB2312"/>
              </w:rPr>
              <w:t>拟派项目团队配置合理，岗位明确，提供人员相关证书（身份证、毕业证及其他有关专业证书），4人以上得4分，每少一人扣1分，扣完为止。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服务商可提供 2023 年 8月 1 日至今（以合同签订时间为准）类似项目业绩，每有 1 项得2分，最高得4分。 评审依据：提供加盖公章的合同复印件或扫描件，未提供有效业绩证明材料的不能得分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产品技术参数</w:t>
            </w:r>
          </w:p>
        </w:tc>
        <w:tc>
          <w:tcPr>
            <w:tcW w:type="dxa" w:w="2492"/>
          </w:tcPr>
          <w:p>
            <w:pPr>
              <w:pStyle w:val="null3"/>
            </w:pPr>
            <w:r>
              <w:rPr>
                <w:rFonts w:ascii="仿宋_GB2312" w:hAnsi="仿宋_GB2312" w:cs="仿宋_GB2312" w:eastAsia="仿宋_GB2312"/>
              </w:rPr>
              <w:t>技术参数完全满足竞争性磋商文件要求得4分，每负偏离 1 项扣 0.5 分，扣完为止。 说明：证明材料不限于检测报告、试验报告、产品彩页、厂家出具的技术证明文件、功能截图等。供应商自行承担因材料提供不全导致的技术参数评审风险。</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价格分统一采用低价优先法计算，即满足磋商文件要求且最后磋商报价最低的供应商的价格为磋商基准价，其价格分为满分。其他供应商的价格分统一按照下列公式计算： 磋商报价得分=(磋商基准价／最后磋商报价)×10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