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版本号：HZGH-2026-04520260707001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刑侦大队反诈中心软件服务采购项目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HZGH-2026-045</w:t>
      </w:r>
      <w:r>
        <w:br/>
      </w:r>
      <w:r>
        <w:br/>
      </w:r>
      <w:r>
        <w:br/>
      </w:r>
    </w:p>
    <w:p>
      <w:pPr>
        <w:pStyle w:val="null3"/>
        <w:jc w:val="center"/>
        <w:outlineLvl w:val="2"/>
      </w:pPr>
      <w:r>
        <w:rPr>
          <w:rFonts w:ascii="仿宋_GB2312" w:hAnsi="仿宋_GB2312" w:cs="仿宋_GB2312" w:eastAsia="仿宋_GB2312"/>
          <w:sz w:val="28"/>
          <w:b/>
        </w:rPr>
        <w:t>西安市公安局雁塔分局</w:t>
      </w:r>
    </w:p>
    <w:p>
      <w:pPr>
        <w:pStyle w:val="null3"/>
        <w:jc w:val="center"/>
        <w:outlineLvl w:val="2"/>
      </w:pPr>
      <w:r>
        <w:rPr>
          <w:rFonts w:ascii="仿宋_GB2312" w:hAnsi="仿宋_GB2312" w:cs="仿宋_GB2312" w:eastAsia="仿宋_GB2312"/>
          <w:sz w:val="28"/>
          <w:b/>
        </w:rPr>
        <w:t>华招广和项目管理有限公司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华招广和项目管理有限公司</w:t>
      </w:r>
      <w:r>
        <w:rPr>
          <w:rFonts w:ascii="仿宋_GB2312" w:hAnsi="仿宋_GB2312" w:cs="仿宋_GB2312" w:eastAsia="仿宋_GB2312"/>
        </w:rPr>
        <w:t>（以下简称“代理机构”）受</w:t>
      </w:r>
      <w:r>
        <w:rPr>
          <w:rFonts w:ascii="仿宋_GB2312" w:hAnsi="仿宋_GB2312" w:cs="仿宋_GB2312" w:eastAsia="仿宋_GB2312"/>
        </w:rPr>
        <w:t>西安市公安局雁塔分局</w:t>
      </w:r>
      <w:r>
        <w:rPr>
          <w:rFonts w:ascii="仿宋_GB2312" w:hAnsi="仿宋_GB2312" w:cs="仿宋_GB2312" w:eastAsia="仿宋_GB2312"/>
        </w:rPr>
        <w:t>委托，拟对</w:t>
      </w:r>
      <w:r>
        <w:rPr>
          <w:rFonts w:ascii="仿宋_GB2312" w:hAnsi="仿宋_GB2312" w:cs="仿宋_GB2312" w:eastAsia="仿宋_GB2312"/>
        </w:rPr>
        <w:t>刑侦大队反诈中心软件服务采购项目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HZGH-2026-045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刑侦大队反诈中心软件服务采购项目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刑侦大队反诈中心软件服务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采购包1（刑侦大队反诈中心软件服务采购项目）：属于专门面向中小企业采购。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 提供供应商合法注册的法人或者其他组织的营业执照等证明文件、 自然人的身份证明；</w:t>
      </w:r>
    </w:p>
    <w:p>
      <w:pPr>
        <w:pStyle w:val="null3"/>
      </w:pPr>
      <w:r>
        <w:rPr>
          <w:rFonts w:ascii="仿宋_GB2312" w:hAnsi="仿宋_GB2312" w:cs="仿宋_GB2312" w:eastAsia="仿宋_GB2312"/>
        </w:rPr>
        <w:t>2、财务状况报告：提供具有财务审计资质单位出具的2024年度或2025年度财务报告（成立时间至磋商时间不足一年的可提供成立后任意时段的资产负债表）或磋商前六个月内其基本账戶银行出具的资信证明（附开戶许可证或基本账戶证明）或政府采购信用担保机构出具的磋商担保函。</w:t>
      </w:r>
    </w:p>
    <w:p>
      <w:pPr>
        <w:pStyle w:val="null3"/>
      </w:pPr>
      <w:r>
        <w:rPr>
          <w:rFonts w:ascii="仿宋_GB2312" w:hAnsi="仿宋_GB2312" w:cs="仿宋_GB2312" w:eastAsia="仿宋_GB2312"/>
        </w:rPr>
        <w:t>3、税收缴纳证明：提供2025年7月1日至今任意一个月已缴纳的纳税证明或完税证明（包含增值税、企业所得税、营业税至少一种） ；（依法免税的投标人应提供相关文件证明）</w:t>
      </w:r>
    </w:p>
    <w:p>
      <w:pPr>
        <w:pStyle w:val="null3"/>
      </w:pPr>
      <w:r>
        <w:rPr>
          <w:rFonts w:ascii="仿宋_GB2312" w:hAnsi="仿宋_GB2312" w:cs="仿宋_GB2312" w:eastAsia="仿宋_GB2312"/>
        </w:rPr>
        <w:t>4、社会保障资金缴纳证明：提供2025年7月1日至今任意一个月的社保缴费凭据或社保机构开具的社会保险参保缴费情况证明；（依法不需要缴纳社会保障资金的投标人应提供相关证明）</w:t>
      </w:r>
    </w:p>
    <w:p>
      <w:pPr>
        <w:pStyle w:val="null3"/>
      </w:pPr>
      <w:r>
        <w:rPr>
          <w:rFonts w:ascii="仿宋_GB2312" w:hAnsi="仿宋_GB2312" w:cs="仿宋_GB2312" w:eastAsia="仿宋_GB2312"/>
        </w:rPr>
        <w:t>5、具有履行本合同所必需的设备和专业技术能力的说明及承诺：提供具有履行本合同所必需的设备和专业技术能力的说明及承诺；（格式自拟，加盖供应商公章）</w:t>
      </w:r>
    </w:p>
    <w:p>
      <w:pPr>
        <w:pStyle w:val="null3"/>
      </w:pPr>
      <w:r>
        <w:rPr>
          <w:rFonts w:ascii="仿宋_GB2312" w:hAnsi="仿宋_GB2312" w:cs="仿宋_GB2312" w:eastAsia="仿宋_GB2312"/>
        </w:rPr>
        <w:t>6、参加政府采购活动前三年内在经营活动中没有重大违法记录的书面声明：提供参加政府采购活动前三年内在经营活动中没有重大违法记录的书面声明。（格式自拟，加盖供应商公章）</w:t>
      </w:r>
    </w:p>
    <w:p>
      <w:pPr>
        <w:pStyle w:val="null3"/>
      </w:pPr>
      <w:r>
        <w:rPr>
          <w:rFonts w:ascii="仿宋_GB2312" w:hAnsi="仿宋_GB2312" w:cs="仿宋_GB2312" w:eastAsia="仿宋_GB2312"/>
        </w:rPr>
        <w:t>7、法定代表人或负责人资格证明书：法定代表人或负责人参与磋商时需提供法定代表人或负责人资格证明书；（附法定代表人或负责人身份证复印件）</w:t>
      </w:r>
    </w:p>
    <w:p>
      <w:pPr>
        <w:pStyle w:val="null3"/>
      </w:pPr>
      <w:r>
        <w:rPr>
          <w:rFonts w:ascii="仿宋_GB2312" w:hAnsi="仿宋_GB2312" w:cs="仿宋_GB2312" w:eastAsia="仿宋_GB2312"/>
        </w:rPr>
        <w:t>8、法定代表人或负责人授权委托书：被授权人参与磋商时， 需提供法定代表人或负责人资格证明书、法定代表人或负责人授权委托书；（附法定代表人或负责人及被授权人身份证复印件）</w:t>
      </w:r>
    </w:p>
    <w:p>
      <w:pPr>
        <w:pStyle w:val="null3"/>
      </w:pPr>
      <w:r>
        <w:rPr>
          <w:rFonts w:ascii="仿宋_GB2312" w:hAnsi="仿宋_GB2312" w:cs="仿宋_GB2312" w:eastAsia="仿宋_GB2312"/>
        </w:rPr>
        <w:t>9、信用查询：供应商不得为“信用中国”网站（www.creditchina.gov.cn） 中列入失信被执行人和重大税收违法案件当事人名单的供应商， 不得为中国政府采购网（www.ccgp.g ov.cn）政府采购严重违法失信行为记录名单中被财政部门禁止参加政府采购活动的供应商；（提供书面承诺函， 格式自拟加盖供应商公章）</w:t>
      </w:r>
    </w:p>
    <w:p>
      <w:pPr>
        <w:pStyle w:val="null3"/>
      </w:pPr>
      <w:r>
        <w:rPr>
          <w:rFonts w:ascii="仿宋_GB2312" w:hAnsi="仿宋_GB2312" w:cs="仿宋_GB2312" w:eastAsia="仿宋_GB2312"/>
        </w:rPr>
        <w:t>10、单位负责人为同一人或者存在直接控股、管理关系的不同供应商， 不得参加同一合同项下的政府采购活动：单位负责人为同一人或者存在直接控股、管理关系的不同供应商， 不得参加同一合同项下的政府采购活动；（提供书面承诺函， 格式自拟加盖供应商公章）</w:t>
      </w:r>
    </w:p>
    <w:p>
      <w:pPr>
        <w:pStyle w:val="null3"/>
      </w:pPr>
      <w:r>
        <w:rPr>
          <w:rFonts w:ascii="仿宋_GB2312" w:hAnsi="仿宋_GB2312" w:cs="仿宋_GB2312" w:eastAsia="仿宋_GB2312"/>
        </w:rPr>
        <w:t>11、本项目不接受联合体磋商：本项目不接受联合体磋商. （提供书面承诺函， 格式自拟加盖供应商公章）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西安市公安局雁塔分局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雁塔区翠华路333号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西安市公安局雁塔分局经办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13720455459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华招广和项目管理有限公司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西安市雁塔区西部国际广场B座28楼2803室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029-87592321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 </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原《国家计委关于印发&lt;招标代理服务收费管理暂行办法&gt;的通知》(计价格〔2002〕1980号)、《国家发展改革委关于降低部分建设项目收费标准规范收费行为等有关问题的通知》(发改价格〔2011〕534号)以及财政部关于印发&lt;政府采购代理机构管 理暂行办法&gt;的通知》（财库〔2018〕2号）规定执行。 2、招标代理服务费应采用转账形式交纳。 3、收款账户如下：收款单位：华招广和项目管理有限公司,开户银行：中国建设银行股份有限公司西安金泰假日花城支行,银行账号：6105 0186 5800 0000 0059。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西安市公安局雁塔分局</w:t>
      </w:r>
      <w:r>
        <w:rPr>
          <w:rFonts w:ascii="仿宋_GB2312" w:hAnsi="仿宋_GB2312" w:cs="仿宋_GB2312" w:eastAsia="仿宋_GB2312"/>
        </w:rPr>
        <w:t>和</w:t>
      </w:r>
      <w:r>
        <w:rPr>
          <w:rFonts w:ascii="仿宋_GB2312" w:hAnsi="仿宋_GB2312" w:cs="仿宋_GB2312" w:eastAsia="仿宋_GB2312"/>
        </w:rPr>
        <w:t>华招广和项目管理有限公司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西安市公安局雁塔分局</w:t>
      </w:r>
      <w:r>
        <w:rPr>
          <w:rFonts w:ascii="仿宋_GB2312" w:hAnsi="仿宋_GB2312" w:cs="仿宋_GB2312" w:eastAsia="仿宋_GB2312"/>
        </w:rPr>
        <w:t>负责解释。除上述磋商文件内容，其他内容由</w:t>
      </w:r>
      <w:r>
        <w:rPr>
          <w:rFonts w:ascii="仿宋_GB2312" w:hAnsi="仿宋_GB2312" w:cs="仿宋_GB2312" w:eastAsia="仿宋_GB2312"/>
        </w:rPr>
        <w:t>华招广和项目管理有限公司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西安市公安局雁塔分局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华招广和项目管理有限公司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联系人：秦工</w:t>
      </w:r>
    </w:p>
    <w:p>
      <w:pPr>
        <w:pStyle w:val="null3"/>
      </w:pPr>
      <w:r>
        <w:rPr>
          <w:rFonts w:ascii="仿宋_GB2312" w:hAnsi="仿宋_GB2312" w:cs="仿宋_GB2312" w:eastAsia="仿宋_GB2312"/>
        </w:rPr>
        <w:t>联系电话：029-87592321</w:t>
      </w:r>
    </w:p>
    <w:p>
      <w:pPr>
        <w:pStyle w:val="null3"/>
      </w:pPr>
      <w:r>
        <w:rPr>
          <w:rFonts w:ascii="仿宋_GB2312" w:hAnsi="仿宋_GB2312" w:cs="仿宋_GB2312" w:eastAsia="仿宋_GB2312"/>
        </w:rPr>
        <w:t>地址：西安市雁塔区西部国际广场B座28楼2803室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刑侦大队反诈中心软件服务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920,000.00</w:t>
      </w:r>
    </w:p>
    <w:p>
      <w:pPr>
        <w:pStyle w:val="null3"/>
      </w:pPr>
      <w:r>
        <w:rPr>
          <w:rFonts w:ascii="仿宋_GB2312" w:hAnsi="仿宋_GB2312" w:cs="仿宋_GB2312" w:eastAsia="仿宋_GB2312"/>
        </w:rPr>
        <w:t>采购包最高限价（元）: 920,000.00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刑侦大队反诈中心软件服务采购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920,000.00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标的名称：刑侦大队反诈中心软件服务采购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185"/>
              <w:gridCol w:w="174"/>
              <w:gridCol w:w="185"/>
              <w:gridCol w:w="215"/>
              <w:gridCol w:w="1479"/>
              <w:gridCol w:w="301"/>
            </w:tblGrid>
            <w:tr>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color w:val="000000"/>
                    </w:rPr>
                    <w:t>序号</w:t>
                  </w:r>
                </w:p>
              </w:tc>
              <w:tc>
                <w:tcPr>
                  <w:tcW w:type="dxa" w:w="1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color w:val="000000"/>
                    </w:rPr>
                    <w:t>服务内容</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color w:val="000000"/>
                    </w:rPr>
                    <w:t>功能模块</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color w:val="000000"/>
                    </w:rPr>
                    <w:t>子模块</w:t>
                  </w:r>
                </w:p>
              </w:tc>
              <w:tc>
                <w:tcPr>
                  <w:tcW w:type="dxa" w:w="14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color w:val="000000"/>
                    </w:rPr>
                    <w:t>功能描述</w:t>
                  </w:r>
                </w:p>
              </w:tc>
              <w:tc>
                <w:tcPr>
                  <w:tcW w:type="dxa" w:w="3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color w:val="000000"/>
                    </w:rPr>
                    <w:t>最大服务次数</w:t>
                  </w:r>
                </w:p>
                <w:p>
                  <w:pPr>
                    <w:pStyle w:val="null3"/>
                    <w:jc w:val="left"/>
                  </w:pPr>
                  <w:r>
                    <w:rPr>
                      <w:rFonts w:ascii="仿宋_GB2312" w:hAnsi="仿宋_GB2312" w:cs="仿宋_GB2312" w:eastAsia="仿宋_GB2312"/>
                      <w:sz w:val="19"/>
                      <w:b/>
                      <w:color w:val="000000"/>
                    </w:rPr>
                    <w:t>（次/年）</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w:t>
                  </w:r>
                </w:p>
              </w:tc>
              <w:tc>
                <w:tcPr>
                  <w:tcW w:type="dxa" w:w="1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全量卡查询系统服务</w:t>
                  </w:r>
                </w:p>
              </w:tc>
              <w:tc>
                <w:tcPr>
                  <w:tcW w:type="dxa" w:w="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全息查询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设备查询</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1.设备查询-设备信息：设备信息包括设备当前四码、设备型号、手机号码运营商、手机系统语言、换机换卡记录，最新定位、工作地、居住地信息;</w:t>
                  </w:r>
                  <w:r>
                    <w:br/>
                  </w:r>
                  <w:r>
                    <w:rPr>
                      <w:rFonts w:ascii="仿宋_GB2312" w:hAnsi="仿宋_GB2312" w:cs="仿宋_GB2312" w:eastAsia="仿宋_GB2312"/>
                      <w:sz w:val="19"/>
                      <w:color w:val="000000"/>
                    </w:rPr>
                    <w:t>2.设备查询-设备特征:根据设备的APP安装情况、轨迹活动等情况，以业务标签形式推测其特征；</w:t>
                  </w:r>
                  <w:r>
                    <w:br/>
                  </w:r>
                  <w:r>
                    <w:rPr>
                      <w:rFonts w:ascii="仿宋_GB2312" w:hAnsi="仿宋_GB2312" w:cs="仿宋_GB2312" w:eastAsia="仿宋_GB2312"/>
                      <w:sz w:val="19"/>
                      <w:color w:val="000000"/>
                    </w:rPr>
                    <w:t>3.设备查询-批量全息画像:支持批量查询设备的全息画像功能；</w:t>
                  </w:r>
                  <w:r>
                    <w:br/>
                  </w:r>
                  <w:r>
                    <w:rPr>
                      <w:rFonts w:ascii="仿宋_GB2312" w:hAnsi="仿宋_GB2312" w:cs="仿宋_GB2312" w:eastAsia="仿宋_GB2312"/>
                      <w:sz w:val="19"/>
                      <w:color w:val="000000"/>
                    </w:rPr>
                    <w:t>4.设备查询-历史WIFI/IP:查询设备上网的WiFi/IP相关信息，包括WiFi信息和设备联网时间、IP等；</w:t>
                  </w:r>
                  <w:r>
                    <w:br/>
                  </w:r>
                  <w:r>
                    <w:rPr>
                      <w:rFonts w:ascii="仿宋_GB2312" w:hAnsi="仿宋_GB2312" w:cs="仿宋_GB2312" w:eastAsia="仿宋_GB2312"/>
                      <w:sz w:val="19"/>
                      <w:color w:val="000000"/>
                    </w:rPr>
                    <w:t>5.设备查询-轨迹走势:位置轨迹包括GPS位置、WiFi、基站、IP等来源的轨迹详细信息;</w:t>
                  </w:r>
                  <w:r>
                    <w:br/>
                  </w:r>
                  <w:r>
                    <w:rPr>
                      <w:rFonts w:ascii="仿宋_GB2312" w:hAnsi="仿宋_GB2312" w:cs="仿宋_GB2312" w:eastAsia="仿宋_GB2312"/>
                      <w:sz w:val="19"/>
                      <w:color w:val="000000"/>
                    </w:rPr>
                    <w:t>6.设备查询-APP特征:设备的安装的APP分析，包括App名称、APP包名、APP分类、安装状态、安装时间、卸载次数等。并标识出其中的敏感应用；</w:t>
                  </w:r>
                  <w:r>
                    <w:br/>
                  </w:r>
                  <w:r>
                    <w:rPr>
                      <w:rFonts w:ascii="仿宋_GB2312" w:hAnsi="仿宋_GB2312" w:cs="仿宋_GB2312" w:eastAsia="仿宋_GB2312"/>
                      <w:sz w:val="19"/>
                      <w:color w:val="000000"/>
                    </w:rPr>
                    <w:t xml:space="preserve">7.设备查询-社交账号:根据手机号查询境内社交平台账号信息;      </w:t>
                  </w:r>
                  <w:r>
                    <w:br/>
                  </w:r>
                  <w:r>
                    <w:rPr>
                      <w:rFonts w:ascii="仿宋_GB2312" w:hAnsi="仿宋_GB2312" w:cs="仿宋_GB2312" w:eastAsia="仿宋_GB2312"/>
                      <w:sz w:val="19"/>
                      <w:color w:val="000000"/>
                    </w:rPr>
                    <w:t>8.设备查询-行为推测:查询目标嫌疑号码关联的寄递、物流、酒店、出行等行为信息。</w:t>
                  </w:r>
                  <w:r>
                    <w:br/>
                  </w:r>
                  <w:r>
                    <w:rPr>
                      <w:rFonts w:ascii="仿宋_GB2312" w:hAnsi="仿宋_GB2312" w:cs="仿宋_GB2312" w:eastAsia="仿宋_GB2312"/>
                      <w:sz w:val="19"/>
                      <w:color w:val="000000"/>
                    </w:rPr>
                    <w:t>9.设备查询-关系分析:对目标号码近一个月内历史设备同网行为进行可视化分层展示。</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10,000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2.</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▲WIFI查询</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可查询连接或扫描此WiFi的所有设备及详细关联信息，以及该WiFi的画像。</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5,000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3.</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IP查询</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可查询使用此IP的所有设备及详细关联信息。</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5,000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4.</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APP查询</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输入APP名称或APP应用包名模糊搜索应用，输出APP分类、安装设备量、是否上架等信息。</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5.</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经纬度分析</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根据输入的经纬度或关键词查询附近区域内的WiFi信息及基站信息。</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1,000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6.</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基站查询</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根据基站代码查询基站信息，分析时间范围内的基站附近设备信息。</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1,000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7.</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社交账号查询</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根据手机号壹询境内外社交平台账号注册信息</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5</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8.</w:t>
                  </w:r>
                </w:p>
              </w:tc>
              <w:tc>
                <w:tcPr>
                  <w:tcW w:type="dxa" w:w="174"/>
                  <w:vMerge/>
                  <w:tcBorders>
                    <w:top w:val="none" w:color="000000" w:sz="4"/>
                    <w:left w:val="none" w:color="000000" w:sz="4"/>
                    <w:bottom w:val="single" w:color="000000" w:sz="4"/>
                    <w:right w:val="single" w:color="000000" w:sz="4"/>
                  </w:tcBorders>
                </w:tcPr>
                <w:p/>
              </w:tc>
              <w:tc>
                <w:tcPr>
                  <w:tcW w:type="dxa" w:w="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研判工具</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color w:val="000000"/>
                    </w:rPr>
                    <w:t>▲</w:t>
                  </w:r>
                  <w:r>
                    <w:rPr>
                      <w:rFonts w:ascii="仿宋_GB2312" w:hAnsi="仿宋_GB2312" w:cs="仿宋_GB2312" w:eastAsia="仿宋_GB2312"/>
                      <w:sz w:val="19"/>
                      <w:color w:val="000000"/>
                    </w:rPr>
                    <w:t>APP分析</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根据APP包名提取应用历史安装设备详情，并针对安装设备群体进行画像分析。</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1,000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9.</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APP同源拓展</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通过APP签名证书hash值，帮助拓展目标的同源APP。</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10.</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color w:val="000000"/>
                    </w:rPr>
                    <w:t>▲</w:t>
                  </w:r>
                  <w:r>
                    <w:rPr>
                      <w:rFonts w:ascii="仿宋_GB2312" w:hAnsi="仿宋_GB2312" w:cs="仿宋_GB2312" w:eastAsia="仿宋_GB2312"/>
                      <w:sz w:val="19"/>
                      <w:color w:val="000000"/>
                    </w:rPr>
                    <w:t>群体画像</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单次批量支持不少于10000个设备四码进行群体画像，分析群体设备四码转换、常驻地、设备型号、安装敏感应用、小众应用等画像信息，掌握群体共性。</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1,000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11.</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APK解析</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自动解析出应用的基本信息，SDK识别，数字签名，权限分析，清单元数据等。</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12.</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零号设备分析</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根据应用包名称查询应用的最早安装的50个设备信息。</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1,000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13.</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color w:val="000000"/>
                    </w:rPr>
                    <w:t>▲</w:t>
                  </w:r>
                  <w:r>
                    <w:rPr>
                      <w:rFonts w:ascii="仿宋_GB2312" w:hAnsi="仿宋_GB2312" w:cs="仿宋_GB2312" w:eastAsia="仿宋_GB2312"/>
                      <w:sz w:val="19"/>
                      <w:color w:val="000000"/>
                    </w:rPr>
                    <w:t>聚集地分析</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支持对嫌疑应用、嫌疑设备或二者组合的方式，根据同网或同轨迹情况，分析目标嫌疑人群疑似聚集窝点。</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100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14.</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WIFI碰撞</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分析多个WIFI在一定时间范围下的同网设备分布，当同网WiFi个数以及同网次数越多，表示设备间关系越紧密。</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1,000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15.</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▲IP碰撞</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单次支持不少于1000个IP同时进行批量碰撞，分析多个IP在一定时间范围下的同网设备分布，当同网IP个数以及同网次数越多，表示设备间关系越紧密。</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1,000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16.</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WiFiIP批量碰撞</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大量WiFiIP碰撞，建立任务输出同网设备。</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1,000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17.</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信息核查</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支持根据手机号或邮箱号或用户名查询境外人员身份信息。</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不限次</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18.</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信息核查（实时分析）</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根据手机号码、IMEI、IMSI、社交账号，拓展境内社交平台账号信息。</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5</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19.</w:t>
                  </w:r>
                </w:p>
              </w:tc>
              <w:tc>
                <w:tcPr>
                  <w:tcW w:type="dxa" w:w="174"/>
                  <w:vMerge/>
                  <w:tcBorders>
                    <w:top w:val="none" w:color="000000" w:sz="4"/>
                    <w:left w:val="none" w:color="000000" w:sz="4"/>
                    <w:bottom w:val="single" w:color="000000" w:sz="4"/>
                    <w:right w:val="single" w:color="000000" w:sz="4"/>
                  </w:tcBorders>
                </w:tcPr>
                <w:p/>
              </w:tc>
              <w:tc>
                <w:tcPr>
                  <w:tcW w:type="dxa" w:w="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实人档案&amp;支付洞察</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实人要素互详</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支持根据手机号、身份证或银行卡号，查询涉案人相关实人信息。</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15,000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20.</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银行卡属性分析</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持查询涉案人相关银行卡信息查询分析。</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15,000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21.</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线下交易洞察</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持查询涉案人近半年内线下交易信息。</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15,000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22.</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转账洞察</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支持查询涉案人近半年内YSF转账交易信息。</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15,000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23.</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全网交易洞察</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支持查询涉案人近两年内银联体系内全网交易信息(含各机构WX/ZFB交易信息、消费、代付、ATM转账和取现等)。</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15,000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24.</w:t>
                  </w:r>
                </w:p>
              </w:tc>
              <w:tc>
                <w:tcPr>
                  <w:tcW w:type="dxa" w:w="174"/>
                  <w:vMerge/>
                  <w:tcBorders>
                    <w:top w:val="none" w:color="000000" w:sz="4"/>
                    <w:left w:val="none" w:color="000000" w:sz="4"/>
                    <w:bottom w:val="single" w:color="000000" w:sz="4"/>
                    <w:right w:val="single" w:color="000000" w:sz="4"/>
                  </w:tcBorders>
                </w:tcPr>
                <w:p/>
              </w:tc>
              <w:tc>
                <w:tcPr>
                  <w:tcW w:type="dxa" w:w="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支付智能分析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步诈卡分析</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支持批量导入涉诈卡信息，自动对不同类型场景的涉诈卡资金流向进行分析，为研判和打击提供方向。</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5,000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25.</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涉案人员资金研判分析</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支持批量导入涉案人信息，自动实现对涉案人员高消费情况研判分析。</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5,000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26.</w:t>
                  </w:r>
                </w:p>
              </w:tc>
              <w:tc>
                <w:tcPr>
                  <w:tcW w:type="dxa" w:w="174"/>
                  <w:vMerge/>
                  <w:tcBorders>
                    <w:top w:val="none" w:color="000000" w:sz="4"/>
                    <w:left w:val="none" w:color="000000" w:sz="4"/>
                    <w:bottom w:val="single" w:color="000000" w:sz="4"/>
                    <w:right w:val="single" w:color="000000" w:sz="4"/>
                  </w:tcBorders>
                </w:tc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备案中心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我的案件</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立案案件查询管理，查询账号在系统内备案，审批账号审批后才有查询权限。</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27.</w:t>
                  </w:r>
                </w:p>
              </w:tc>
              <w:tc>
                <w:tcPr>
                  <w:tcW w:type="dxa" w:w="174"/>
                  <w:vMerge/>
                  <w:tcBorders>
                    <w:top w:val="none" w:color="000000" w:sz="4"/>
                    <w:left w:val="none" w:color="000000" w:sz="4"/>
                    <w:bottom w:val="single" w:color="000000" w:sz="4"/>
                    <w:right w:val="single" w:color="000000" w:sz="4"/>
                  </w:tcBorders>
                </w:tc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日志中心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我的日志</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查询日志：查询明细。</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28.</w:t>
                  </w:r>
                </w:p>
              </w:tc>
              <w:tc>
                <w:tcPr>
                  <w:tcW w:type="dxa" w:w="174"/>
                  <w:vMerge/>
                  <w:tcBorders>
                    <w:top w:val="none" w:color="000000" w:sz="4"/>
                    <w:left w:val="none" w:color="000000" w:sz="4"/>
                    <w:bottom w:val="single" w:color="000000" w:sz="4"/>
                    <w:right w:val="single" w:color="000000" w:sz="4"/>
                  </w:tcBorders>
                </w:tcPr>
                <w:p/>
              </w:tc>
              <w:tc>
                <w:tcPr>
                  <w:tcW w:type="dxa" w:w="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其他要求</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账号</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账号分级管理，系统设置审批账号和查询账号。</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29.</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售后服务</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1、提供7*24小时线上售后服务，根据要求提供售后服务支持。</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30.</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2、更新升级 ：支持在线升级 ，免费提供数据服务更新升级 ，保证所提供系统数据服务为最新版本 。</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31.</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账号数量</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账号最大许可数2个</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32.</w:t>
                  </w:r>
                </w:p>
              </w:tc>
              <w:tc>
                <w:tcPr>
                  <w:tcW w:type="dxa" w:w="1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AI反诈外呼机器人</w:t>
                  </w:r>
                </w:p>
              </w:tc>
              <w:tc>
                <w:tcPr>
                  <w:tcW w:type="dxa" w:w="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AI外呼</w:t>
                  </w:r>
                </w:p>
              </w:tc>
              <w:tc>
                <w:tcPr>
                  <w:tcW w:type="dxa" w:w="2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首页</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数据展示：展示接听率、有效接听率、外呼总量、平均通话时长；</w:t>
                  </w:r>
                  <w:r>
                    <w:br/>
                  </w:r>
                  <w:r>
                    <w:rPr>
                      <w:rFonts w:ascii="仿宋_GB2312" w:hAnsi="仿宋_GB2312" w:cs="仿宋_GB2312" w:eastAsia="仿宋_GB2312"/>
                      <w:sz w:val="19"/>
                      <w:color w:val="000000"/>
                    </w:rPr>
                    <w:t>支持按任务名/BOT、组织/成员、日期进行筛选</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33.</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客户意向等级：展示筛选时间段内不同的客户意向分级占比及数量</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34.</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BOT使用数据：展示实时AI坐席的使用情况</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35.</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实时外呼任务数据：展示筛选状态任务的进度和BOT数量信息</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36.</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呼叫中心</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新建任务：左侧索引栏通过新建任务，创建一个新的任务模块，在该模块下面做新的任务创建内容（新建任务时任务名去重），任务列表支持按任务状态、创建时间筛选，支持按创建时间、上次编辑时间排序，支持暂停或开始全部任务</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37.</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BOT名称：选择已制作好的话术，用于此任务中的人机对话内容</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38.</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启动方式：支持手动／自动两种任务启动方式</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39.</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拨打时间段：支持“可拨打时段选择”、“多个不可拨打时段选择”、根据每周星期设置、“结束日期”、“不可拨打日期”设置</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40.</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外呼方式：支持线路方式外呼</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41.</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白名单过滤：可以对名单内的客户进行过滤</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42.</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弹性坐席：外呼任务开启弹性坐席后，当账号拥有的空闲坐席少于当前任务所需坐席数时，仍能启动任务；当其他任务释放坐席后，会自动补充至当前任务；存在多余的空闲坐席时，自动增加坐席至当前任务，最大化利用BOT数量，提高外呼效率。</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43.</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自动重拨：支持设置首次外呼优先；：支持设置多个重播组，对未接听(主叫欠费、呼损、无应答、忙线中、拒接、关机、停机、无法接通、外呼失败、空号等状态)用户自动重拨，或已接听(根据外呼结果产生的意向)客户发起自动重播；</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44.</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描述：记录对任务的描述</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45.</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编辑任务：对已经创建的任务进行编辑</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46.</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导入客户：支持单个导入或批量导入客户；：支持对已经在已呼客户列表的数据去重；</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47.</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开始任务：点击手动开始执行外呼任务</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48.</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刷新：刷新任务中各统计字段以及外呼数据的状态信息</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49.</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运行概况：提供AI外呼任务的实时数据，包括外呼总数、总外呼数、电话接听率、接听数、挂机率、挂机人数、总通话时长、平均通话时长等。：提供基于外呼任务的客户意向等级、接听状态、外呼效果、通话时长、对话轮次等信息的数据展示。</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50.</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未呼名单：支持搜索号码、筛选执行状态、选择号码导入AI外呼任务、删除号码、数据导出</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51.</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已呼名单：支持搜索电话号码：支持通话状态、预警等级、呼叫时间等的筛选：支持选择号码导入到当前任务/AI外呼任务/待呼列表：支持下载通话录音、查看通话详情、导出通话记录：支持一键生成可上传部级平台数据</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52.</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过滤名单：外呼每个客户时，根据线路属性（盲区、运营商限制、白名单限制、外呼拦截规则等条件进行校验，被限制外呼的客户显示在过滤客户列表：支持搜索联系电话、筛选过滤原因：支持将过滤客户导入当前/其他AI外呼任务</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53.</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任务详情：记录任务基本信息，包括创建日期、BOT名称、任务ID、启动方式、拨打时间段、外呼线路、BOT数量（含BOT变动记录和修改BOT数量）、白名单过滤、弹性坐席、自动重播设置、外呼拦截、任务描述等</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54.</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操作日志：记录任务操作日志信息，支持按操作类型、执行者和执行时间进行筛选</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55.</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AI机器人</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话术筛选：支持行业、话术状态筛选话术</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56.</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新建AI话术：左侧索引栏通过新建AI话术，创建一个新的话术</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57.</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BOT名称：任务名称不超过50个字符，任务之间不可重名</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58.</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行业信息：选择话术行业信息</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59.</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意向标签：选择当前话术引用的意向标签</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60.</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声音类型：支持真人语音或全AI合成音</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61.</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整句合成：含变量的短句用合成音，其余部分用真人录音，录音师录制时，在短句前后的标点处停顿时长需大于100ms</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62.</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BOT描述：任务描述不超过50个字符</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63.</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主流程话术：配置主流程话术画布，包含5种类型节点，支持设置节点名称、动态变量赋值、信息收集、跳转等功能</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64.</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问答知识：配置问答知识，支持对问答知识进行筛选、添加知识、编辑、删除等操作；</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65.</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问答知识流程：配置问答知识跳转后的流程话术，包含5种类型节点，支持设置节点名称、动态变量赋值、信息收集、跳转等功能</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66.</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问法语料：用于维护各分支基本信息，包括关键词、用户问法、分支属性等</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67.</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BOT配置：支持配置个性化设置（包括信息收集、是否启用问答、默认回答分支优先级等）；：支持配置语音设置（包括打断灵敏度、反应灵敏度、调节语音合成、增加背景音、绑定ASR模型、客户无应答时长设置、特殊挂机流程）</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68.</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变量管理：支持新增或删除自定义变量/动态变量</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69.</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意向规则：支持添加/删除/编辑意向规则；</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70.</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实体库：支持新增/编辑/删除/导入/导出自定义实体，支持通过实体名称、类型进行搜索；</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71.</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发布审核：支持训练模型、发布审核、查看/编辑录音、下载录音、批量上传录音。：支持查看话术侧操作记录，支持通过时间、操作对象、操作人进行筛选，并导出。</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72.</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标签组：支持新建、编辑、复制、删除意向标签分组</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73.</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意向配置：支持添加/编辑/删除意向规则，支持规则同步至话术</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74.</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联系历史</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联系历史查看：查看近90天所有通话的文字、录音记录</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75.</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联系历史筛选：支持搜索号码、支持BOT名称、任务名呼叫时间</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76.</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导入任务：支持导入到ai外呼任务</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77.</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内容导出：支持通话录音批量下载</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78.</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数据统计</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通话情况汇总：查看所有通话情况，支持按日期（近90天）或任务查看，支持以客户或通话维度统计，并支持按任务名/BOT名、日期、成员/组织筛选；</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79.</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通话数据统计：以客户或通话的维度生成外呼数据、接听率、通话时长、通话时长分布、通话状态、对话轮次的图表，支持按意向任务名/BOT名、日期（近90天）、成员/组织筛选，并允许导出为Excel表格</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80.</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设置</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通话设置：自定义设置AI外呼等待客户接听时长上限设置；：支持开启/关闭AI外呼监控。</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81.</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预警设置：根据不同的场景，自定义设置预警规则如接通率过低预警，意向客户比例过低预警。</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82.</w:t>
                  </w:r>
                </w:p>
              </w:tc>
              <w:tc>
                <w:tcPr>
                  <w:tcW w:type="dxa" w:w="174"/>
                  <w:vMerge/>
                  <w:tcBorders>
                    <w:top w:val="none" w:color="000000" w:sz="4"/>
                    <w:left w:val="none" w:color="000000" w:sz="4"/>
                    <w:bottom w:val="single" w:color="000000" w:sz="4"/>
                    <w:right w:val="single" w:color="000000" w:sz="4"/>
                  </w:tcBorders>
                </w:tcPr>
                <w:p/>
              </w:tc>
              <w:tc>
                <w:tcPr>
                  <w:tcW w:type="dxa" w:w="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名单中心</w:t>
                  </w:r>
                </w:p>
              </w:tc>
              <w:tc>
                <w:tcPr>
                  <w:tcW w:type="dxa" w:w="2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我的名单</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新建：支持新建单个客户或批量导入客户至我的客户列表</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83.</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多状态客户筛选：支持按客户通话状态、意向等级等条件对客户进行筛选</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84.</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查看客户详情：可展现客户详细信息，支持编辑客户基本信息，调整跟进状态，写跟进记录，查看客户动态、客户关注点、属性和意向；可便捷操作加入白名单、转移客户和删除客户</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85.</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批量操作：支持筛选客户导入至AI外呼任务，支持批量导入客户、导出客户、转移客户、退回公海、加白白名单、删除客户</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86.</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白名单管理</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白名单分组管理：支持创建白名单分组，给分组设置有效期；支持编辑和删除分组</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87.</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白名单批量操作：支持组内单个/批量导入白名单，支持单个/批量退出白名单，支持批量转移和导出</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88.</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白名单单个操作：支持编辑白名单内单个客户，退出白名单</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89.</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白名单筛选：支持多维度筛选（按名称、加入原因）</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90.</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企业内部管理</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 xml:space="preserve">成员管理：企业内部组织架构及成员配置，为不同的成员配置不同的角色  </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91.</w:t>
                  </w:r>
                </w:p>
              </w:tc>
              <w:tc>
                <w:tcPr>
                  <w:tcW w:type="dxa" w:w="1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AI止付助手机器人服务</w:t>
                  </w:r>
                </w:p>
              </w:tc>
              <w:tc>
                <w:tcPr>
                  <w:tcW w:type="dxa" w:w="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机器人管理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机器人展示</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支持对所有AI机器人的信息展示，包括ip信息、机器人名称、对应的部平台账号、机器人类型、工作状态等</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92.</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机器人类型</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支持AI机器人类型设置，例如止付机器人、预警同步机器人、审核机器人、状态同步机器人等</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93.</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机器人详情</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支持对AI机器人进行详情查看</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94.</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机器人配置</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支持新增AI机器人并配置机器人参数，包括基础参数、负载配置参数、止付函格式信息等，使机器人能够自动对应到部平台账号、民警及止付函格式等</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95.</w:t>
                  </w:r>
                </w:p>
              </w:tc>
              <w:tc>
                <w:tcPr>
                  <w:tcW w:type="dxa" w:w="174"/>
                  <w:vMerge/>
                  <w:tcBorders>
                    <w:top w:val="none" w:color="000000" w:sz="4"/>
                    <w:left w:val="none" w:color="000000" w:sz="4"/>
                    <w:bottom w:val="single" w:color="000000" w:sz="4"/>
                    <w:right w:val="single" w:color="000000" w:sz="4"/>
                  </w:tcBorders>
                </w:tcPr>
                <w:p/>
              </w:tc>
              <w:tc>
                <w:tcPr>
                  <w:tcW w:type="dxa" w:w="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任务管理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任务展示</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支持展示已发布的历史任务</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96.</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任务查询</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支持根据任务名称、创建时间、创建人等信息查询历史任务</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97.</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任务发布</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支持新建任务，可编辑任务详情。任务新建发布后，AI机器人将根据任务自动执行</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98.</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任务执行结果同步</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AI机器人在登录、同步预警操作后，执行结果将同步到后台，可展示每一条预警的预警信息、止付状态、再次提交时间、终止止付时间等信息</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99.</w:t>
                  </w:r>
                </w:p>
              </w:tc>
              <w:tc>
                <w:tcPr>
                  <w:tcW w:type="dxa" w:w="174"/>
                  <w:vMerge/>
                  <w:tcBorders>
                    <w:top w:val="none" w:color="000000" w:sz="4"/>
                    <w:left w:val="none" w:color="000000" w:sz="4"/>
                    <w:bottom w:val="single" w:color="000000" w:sz="4"/>
                    <w:right w:val="single" w:color="000000" w:sz="4"/>
                  </w:tcBorders>
                </w:tcPr>
                <w:p/>
              </w:tc>
              <w:tc>
                <w:tcPr>
                  <w:tcW w:type="dxa" w:w="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止付列表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白名单</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支持添加白名单，所添加的账户将不会被止付</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100.</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▲添加止付任务</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支持添加止付任务，支持单个编辑、批量导入方式</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101.</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▲预警同步</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根据任务要求及AI机器人配置，AI机器人模拟人工操作自动登录部平台并自动同步部平台资金流预警数据</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102.</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预警解析</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依托AI技术，对同步的资金流预警数据进行解析识别，获取账号、归属行、金额等信息</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103.</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生成公函</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根据解析获取的信息和后台已配置信息，依托AI技术，自动生成止付公函</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104.</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止付申请</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根据止付公函提交止付申请</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105.</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同步止付结果</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同步止付结果</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106.</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▲止付列表</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同步预警数据和止付数据，展示止付数据及止付动态</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107.</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止付周期计划</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支持根据银行反馈的止付结果，自动生成后续止付提交周期计划，并以日历形式展示</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108.</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止付查询</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支持以银行卡号、事主姓名、提交日期、识别状态、转账时间等维度对止付单进行筛选查询</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109.</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止付解封</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支持添加止付解封账户，被添加的账户将从下一次提交止付列表中删除</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110.</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事主列表</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以人员为维度展示已同步的资金流预警，包括事主姓名、银行卡号、预警卡及扩展卡信息</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111.</w:t>
                  </w:r>
                </w:p>
              </w:tc>
              <w:tc>
                <w:tcPr>
                  <w:tcW w:type="dxa" w:w="174"/>
                  <w:vMerge/>
                  <w:tcBorders>
                    <w:top w:val="none" w:color="000000" w:sz="4"/>
                    <w:left w:val="none" w:color="000000" w:sz="4"/>
                    <w:bottom w:val="single" w:color="000000" w:sz="4"/>
                    <w:right w:val="single" w:color="000000" w:sz="4"/>
                  </w:tcBorders>
                </w:tc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扩卡分析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▲扩卡分析</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支持对受害事主进行自动化扩卡分析，自动分析出名下的银行卡，支持中国建设银行、交通银行、中国农业银行、中国工商银行、中国银行、中国邮政储蓄银行、招商银行七大行，以及支付宝（中国）网络技术有限公司、财付通支付科技有限公司两大网络支付平台。</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112.</w:t>
                  </w:r>
                </w:p>
              </w:tc>
              <w:tc>
                <w:tcPr>
                  <w:tcW w:type="dxa" w:w="174"/>
                  <w:vMerge/>
                  <w:tcBorders>
                    <w:top w:val="none" w:color="000000" w:sz="4"/>
                    <w:left w:val="none" w:color="000000" w:sz="4"/>
                    <w:bottom w:val="single" w:color="000000" w:sz="4"/>
                    <w:right w:val="single" w:color="000000" w:sz="4"/>
                  </w:tcBorders>
                </w:tcPr>
                <w:p/>
              </w:tc>
              <w:tc>
                <w:tcPr>
                  <w:tcW w:type="dxa" w:w="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统计概览</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机器人状态总览</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以图表形式展示所有机器人信息及运行情况</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113.</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▲止付总览</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以可视化图表展示周期内止付规模情况、止付趋势、状态漏斗；支持对不同单位止付情况进行统计排名</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114.</w:t>
                  </w:r>
                </w:p>
              </w:tc>
              <w:tc>
                <w:tcPr>
                  <w:tcW w:type="dxa" w:w="174"/>
                  <w:vMerge/>
                  <w:tcBorders>
                    <w:top w:val="none" w:color="000000" w:sz="4"/>
                    <w:left w:val="none" w:color="000000" w:sz="4"/>
                    <w:bottom w:val="single" w:color="000000" w:sz="4"/>
                    <w:right w:val="single" w:color="000000" w:sz="4"/>
                  </w:tcBorders>
                </w:tcPr>
                <w:p/>
              </w:tc>
              <w:tc>
                <w:tcPr>
                  <w:tcW w:type="dxa" w:w="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系统配置</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组织架构</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支持设置多级组织机构，支撑上下级统筹</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115.</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角色管理</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支持设置操作员、管理员等不同角色，可对不同角色赋予不同权限</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116.</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权限管理</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支持设置系统权限</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117.</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用户管理</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支持用户的增删改查，可赋予用户角色</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118.</w:t>
                  </w:r>
                </w:p>
              </w:tc>
              <w:tc>
                <w:tcPr>
                  <w:tcW w:type="dxa" w:w="174"/>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日志管理</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记录系统操作记录，便于工作倒查和监督</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无限制</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进度款，项目验收合格后，达到付款条件起7个工作日内，支付合同总金额的60.0%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①本项目磋商一次，磋商后供应商根据磋商内容在规定的时间内通过交易系统递交磋商响应函，逾期未递交的视为自动放弃竞争。②本项目采用两轮报价，响应文件中的报价为首次报价，磋商后的报价为最终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 提供供应商合法注册的法人或者其他组织的营业执照等证明文件、 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财务报告（成立时间至磋商时间不足一年的可提供成立后任意时段的资产负债表）或磋商前六个月内其基本账戶银行出具的资信证明（附开戶许可证或基本账戶证明）或政府采购信用担保机构出具的磋商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提供2025年7月1日至今任意一个月已缴纳的纳税证明或完税证明（包含增值税、企业所得税、营业税至少一种） ；（依法免税的投标人应提供相关文件证明）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提供2025年7月1日至今任意一个月的社保缴费凭据或社保机构开具的社会保险参保缴费情况证明；（依法不需要缴纳社会保障资金的投标人应提供相关证明）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法定代表人或负责人资格证明书</w:t>
            </w:r>
          </w:p>
        </w:tc>
        <w:tc>
          <w:tcPr>
            <w:tcW w:type="dxa" w:w="3322"/>
          </w:tcPr>
          <w:p>
            <w:pPr>
              <w:pStyle w:val="null3"/>
            </w:pPr>
            <w:r>
              <w:rPr>
                <w:rFonts w:ascii="仿宋_GB2312" w:hAnsi="仿宋_GB2312" w:cs="仿宋_GB2312" w:eastAsia="仿宋_GB2312"/>
              </w:rPr>
              <w:t>法定代表人或负责人参与磋商时需提供法定代表人或负责人资格证明书；（附法定代表人或负责人身份证复印件）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法定代表人或负责人授权委托书</w:t>
            </w:r>
          </w:p>
        </w:tc>
        <w:tc>
          <w:tcPr>
            <w:tcW w:type="dxa" w:w="3322"/>
          </w:tcPr>
          <w:p>
            <w:pPr>
              <w:pStyle w:val="null3"/>
            </w:pPr>
            <w:r>
              <w:rPr>
                <w:rFonts w:ascii="仿宋_GB2312" w:hAnsi="仿宋_GB2312" w:cs="仿宋_GB2312" w:eastAsia="仿宋_GB2312"/>
              </w:rPr>
              <w:t>被授权人参与磋商时， 需提供法定代表人或负责人资格证明书、法定代表人或负责人授权委托书；（附法定代表人或负责人及被授权人身份证复印件）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 中列入失信被执行人和重大税收违法案件当事人名单的供应商， 不得为中国政府采购网（www.ccgp.g ov.cn）政府采购严重违法失信行为记录名单中被财政部门禁止参加政府采购活动的供应商；（提供书面承诺函， 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单位负责人为同一人或者存在直接控股、管理关系的不同供应商， 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单位负责人为同一人或者存在直接控股、管理关系的不同供应商， 不得参加同一合同项下的政府采购活动；（提供书面承诺函， 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 （提供书面承诺函， 格式自拟加盖供应商公章）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磋商响应文件的计量单位、报价货币及签字盖章</w:t>
            </w:r>
          </w:p>
        </w:tc>
        <w:tc>
          <w:tcPr>
            <w:tcW w:type="dxa" w:w="3322"/>
          </w:tcPr>
          <w:p>
            <w:pPr>
              <w:pStyle w:val="null3"/>
            </w:pPr>
            <w:r>
              <w:rPr>
                <w:rFonts w:ascii="仿宋_GB2312" w:hAnsi="仿宋_GB2312" w:cs="仿宋_GB2312" w:eastAsia="仿宋_GB2312"/>
              </w:rPr>
              <w:t>磋商响应文件的计量单位、报价货币及签字盖章符合磋商文件要求</w:t>
            </w:r>
          </w:p>
        </w:tc>
        <w:tc>
          <w:tcPr>
            <w:tcW w:type="dxa" w:w="1661"/>
          </w:tcPr>
          <w:p>
            <w:pPr>
              <w:pStyle w:val="null3"/>
            </w:pPr>
            <w:r>
              <w:rPr>
                <w:rFonts w:ascii="仿宋_GB2312" w:hAnsi="仿宋_GB2312" w:cs="仿宋_GB2312" w:eastAsia="仿宋_GB2312"/>
              </w:rPr>
              <w:t>响应文件封面 分项报价表.docx 承诺书.docx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磋商响应文件的有效期</w:t>
            </w:r>
          </w:p>
        </w:tc>
        <w:tc>
          <w:tcPr>
            <w:tcW w:type="dxa" w:w="3322"/>
          </w:tcPr>
          <w:p>
            <w:pPr>
              <w:pStyle w:val="null3"/>
            </w:pPr>
            <w:r>
              <w:rPr>
                <w:rFonts w:ascii="仿宋_GB2312" w:hAnsi="仿宋_GB2312" w:cs="仿宋_GB2312" w:eastAsia="仿宋_GB2312"/>
              </w:rPr>
              <w:t>磋商响应文件的有效期满足磋商文件规定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投标报价是否超过采购预算或最高限价</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法律、法规和磋商文件中规定的其他实质性要求</w:t>
            </w:r>
          </w:p>
        </w:tc>
        <w:tc>
          <w:tcPr>
            <w:tcW w:type="dxa" w:w="1661"/>
          </w:tcPr>
          <w:p>
            <w:pPr>
              <w:pStyle w:val="null3"/>
            </w:pPr>
            <w:r>
              <w:rPr>
                <w:rFonts w:ascii="仿宋_GB2312" w:hAnsi="仿宋_GB2312" w:cs="仿宋_GB2312" w:eastAsia="仿宋_GB2312"/>
              </w:rPr>
              <w:t>商务应答表 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技术服务条款响应情况</w:t>
            </w:r>
          </w:p>
        </w:tc>
        <w:tc>
          <w:tcPr>
            <w:tcW w:type="dxa" w:w="2492"/>
          </w:tcPr>
          <w:p>
            <w:pPr>
              <w:pStyle w:val="null3"/>
            </w:pPr>
            <w:r>
              <w:rPr>
                <w:rFonts w:ascii="仿宋_GB2312" w:hAnsi="仿宋_GB2312" w:cs="仿宋_GB2312" w:eastAsia="仿宋_GB2312"/>
              </w:rPr>
              <w:t>供应商对磋商文件中的服务内容及要求进行逐条响应，磋商小组依据供应商的响应情况进行评审。 供应商所提供的服务内容及要求完全满足磋商文件的得30分，其中▲项（共10条），每负偏离一项扣2分，其余项参数要求负偏离每项扣1分，扣完为止。 注：带“▲”项的技术服务要求须提供相关证明材料（不限于系统界面截图或官方技术白皮书或技术参数说明等）；未提供相关证明材料的或其证明材料经磋商小组一致认定无法实质性证明技术服务条款的视为负偏离，按照以上标准进行扣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供应商根据本项目需求制定详细的总体实施方案，包含：对本项目的总体实施目标、系统技术路线和功能概要说明。 ①提供的总体实施技术方案内容详尽完善，针对总体实施目标、系统技术路线、功能概要说明、技术应用服务内容等各部分内容表述完整全面，提供的技术具有科学创新内容的，提供的技术设计管理逻辑符合采购人要求的，总体方案逻辑缜密，模块系统建设贴合采购人业务特点的，贴合本项目实际实施情况进行表述的，得15分； ②提供的总体实施技术方案内容全面具体，针对总体实施目标、系统技术路线、功能概要说明、技术服务内容等各部分内容表述完善，模块技术建设思路能够体现采购人管理要求的，模块方案逻辑清晰，系统建设结合采购人业务特点的，结合本项目实际实施情况进行表述的，得12分； ③提供的总体实施技术方案内容片面，针对总体实施目标、系统技术路线、功能概要说明、技术服务内容等各部分内容表述笼统，整体方案逻辑混乱，模块系统建设结合采购人业务特点表述粗略的，结合本项目实际实施情况表述内容少的，得9分； ④提供的总体实施技术方案内容粗略简单，针对总体实施目标、系统技术路线、功能概要说明、技术服务内容等各部分内容表述笼统，模块系统建设未结合采购人业务特点表述的，未结合本项目实际实施情况表述的，得6分； ⑤提供的总体实施技术方案内容缺项漏项超过3项的，得3分； ⑥简单照抄招标文件需求和评分标准内容、无详细描述，或未提供相应内容的不得分。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项目质量保障措施</w:t>
            </w:r>
          </w:p>
        </w:tc>
        <w:tc>
          <w:tcPr>
            <w:tcW w:type="dxa" w:w="2492"/>
          </w:tcPr>
          <w:p>
            <w:pPr>
              <w:pStyle w:val="null3"/>
            </w:pPr>
            <w:r>
              <w:rPr>
                <w:rFonts w:ascii="仿宋_GB2312" w:hAnsi="仿宋_GB2312" w:cs="仿宋_GB2312" w:eastAsia="仿宋_GB2312"/>
              </w:rPr>
              <w:t>供应商提供针对本项目采购人实施服务工作的质量保障措施，包含：项目质量管理体系、质量管理标准、质量管理目标、质量保障措施、技术支持、售后服务。 ①质量管理体系内容逻辑缜密、质量管理标准及目标科学明确、质量保障措施完整周密切实可行、技术支持及售后服务办法具体有效的，得12分； ②质量管理体系内容逻辑清晰、质量管理标准及目标明确、质量保障措施完整、技术支持及售后服务办法合理，得9分； ③质量管理体系内容逻辑顺畅、有质量管理标准及目标、质量保障措施片面、有技术支持及售后服务办法的，得6分； ④质量管理体系内容逻辑混乱、质量管理标准及目标不明确、质量保障措施仅有简单表述、没有技术支持及售后服务办法的，得3分； ⑤简单照抄招标文件需求和评分标准内容、无详细描述，或未提供相应内容的不得分。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供应商认为有必要说明的事宜.docx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项目进度保障措施</w:t>
            </w:r>
          </w:p>
        </w:tc>
        <w:tc>
          <w:tcPr>
            <w:tcW w:type="dxa" w:w="2492"/>
          </w:tcPr>
          <w:p>
            <w:pPr>
              <w:pStyle w:val="null3"/>
            </w:pPr>
            <w:r>
              <w:rPr>
                <w:rFonts w:ascii="仿宋_GB2312" w:hAnsi="仿宋_GB2312" w:cs="仿宋_GB2312" w:eastAsia="仿宋_GB2312"/>
              </w:rPr>
              <w:t>供应商提供针对本项目实施服务工作的进度保障措施，包含：进度保障管理办法、进度保障措施、进度管理人员、时间节点划分、阶段成果安排。 ①保障管理办法内容逻辑缜密、保障措施完整周密切实可行、进度保障专人负责、任务节点划分明确、阶段成果真实具体的，得7分； ②保障管理办法内容逻辑顺畅、保障措施片面、进度保障专人负责、有任务节点划分、有阶段成果，得4分； ③保障管理办法内容逻辑混乱、保障措施仅有简单表述、进度保障无专人负责、任务节点划分含糊、没有阶段成果的，得2分； ④简单照抄招标文件需求和评分标准内容、无详细描述，或未提供相应内容的不得分。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供应商认为有必要说明的事宜.docx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培训服务方案</w:t>
            </w:r>
          </w:p>
        </w:tc>
        <w:tc>
          <w:tcPr>
            <w:tcW w:type="dxa" w:w="2492"/>
          </w:tcPr>
          <w:p>
            <w:pPr>
              <w:pStyle w:val="null3"/>
            </w:pPr>
            <w:r>
              <w:rPr>
                <w:rFonts w:ascii="仿宋_GB2312" w:hAnsi="仿宋_GB2312" w:cs="仿宋_GB2312" w:eastAsia="仿宋_GB2312"/>
              </w:rPr>
              <w:t>供应商应针对性提出本项目的培训方案，包含：培训组织架构、培训课程规划设计、培训日程安排、培训方式、培训对象、培训内容。 ①供应商提供的培训方案内容要点齐全周密，系统平台使用培训、培训组织人员配备、所有系统资料内容详细周密、有计划性，针对本项目系统使用有详细、科学的培训课程及课时安排，培训组织形式多样，贴合采购人工作人员所需培训情况进行详细表述的，得6分； ②供应商提供的培训方案内容片面，未按照本项目实际情况提供齐全系统平台的培训方案和计划的，结合采购人工作人员所需培训情况进行表述内容少的，得4分； ③供应商提供的培训方案内容笼统，漏项多的，未结合采购人工作人员所需培训情况进行表述的，得2分； ④简单照抄招标文件需求和评分标准内容、无详细描述，或未提供相应内容的不得分。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提供2023年5月1日至本项目投标截止时间止（以合同签订时间为准），供应商承担过与本项目相类似的业绩，每提供1个得2分，满分为6分。 注：供应商须提供项目合同（含合同首页、签署时间、签字盖章页、合同标的和合同金额等）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供应商具备与反诈相关的计算机软件著作权证书，每提供1份得1分，共4分。 注：供应商须提供证书原件的扫描件附于投标文件，不符合要求或未提供或模糊不清的不得分。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拟派项目组人员</w:t>
            </w:r>
          </w:p>
        </w:tc>
        <w:tc>
          <w:tcPr>
            <w:tcW w:type="dxa" w:w="2492"/>
          </w:tcPr>
          <w:p>
            <w:pPr>
              <w:pStyle w:val="null3"/>
            </w:pPr>
            <w:r>
              <w:rPr>
                <w:rFonts w:ascii="仿宋_GB2312" w:hAnsi="仿宋_GB2312" w:cs="仿宋_GB2312" w:eastAsia="仿宋_GB2312"/>
              </w:rPr>
              <w:t>1.拟派项目经理（2分） 项目经理1名：具有信息系统项目管理师（高级）（计算机技术与软件专业技术资格（水平）考试证书）的，得2分；满分为2分。 2.拟派项目团队人员（不含项目经理）（8分） （1）供应商须为本项目至少配备4名技术人员，满足得2分，不满足不得分。 （2）项目服务团队成员中每有1人具有注册信息安全专业人员（CISP）证书的，得1分，满分为2分。 （3）项目服务团队成员中每有1人具有计算机技术与软件专业技术证书中级的得1分，高级的得2分，不提供不得分，满分得4分。 注：项目团队单个人员持有多个与本项目评分相关证书的，仅按其中得分最高的单个证书计算一次分值，不重复累计计分。供应商须提供上述所有人员对应的证书扫描件，同时须提供供应商为上述人员缴纳社保的明细记录（缴纳时间为2026年1月至本项目文件提交截止时间前任意一个月），不满足或不符合本项要求或模糊不清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拟派项目组人员.docx</w:t>
            </w:r>
          </w:p>
          <w:p>
            <w:pPr>
              <w:pStyle w:val="null3"/>
            </w:pPr>
            <w:r>
              <w:rPr>
                <w:rFonts w:ascii="仿宋_GB2312" w:hAnsi="仿宋_GB2312" w:cs="仿宋_GB2312" w:eastAsia="仿宋_GB2312"/>
              </w:rPr>
              <w:t>供应商认为有必要说明的事宜.docx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详见附件：拟派项目组人员.docx</w:t>
      </w:r>
    </w:p>
    <w:p>
      <w:pPr>
        <w:pStyle w:val="null3"/>
        <w:ind w:firstLine="960"/>
      </w:pPr>
      <w:r>
        <w:rPr>
          <w:rFonts w:ascii="仿宋_GB2312" w:hAnsi="仿宋_GB2312" w:cs="仿宋_GB2312" w:eastAsia="仿宋_GB2312"/>
        </w:rPr>
        <w:t>详见附件：供应商认为有必要说明的事宜.docx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