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版本号：XHZB2026-CS-049-00120260710001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西安市雁塔区电子三路一级消防救援站建设项目监理服务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XHZB2026-CS-049-001</w:t>
      </w:r>
      <w:r>
        <w:br/>
      </w:r>
      <w:r>
        <w:br/>
      </w:r>
      <w:r>
        <w:br/>
      </w:r>
    </w:p>
    <w:p>
      <w:pPr>
        <w:pStyle w:val="null3"/>
        <w:jc w:val="center"/>
        <w:outlineLvl w:val="2"/>
      </w:pPr>
      <w:r>
        <w:rPr>
          <w:rFonts w:ascii="仿宋_GB2312" w:hAnsi="仿宋_GB2312" w:cs="仿宋_GB2312" w:eastAsia="仿宋_GB2312"/>
          <w:sz w:val="28"/>
          <w:b/>
        </w:rPr>
        <w:t>西安市雁塔区应急管理局</w:t>
      </w:r>
    </w:p>
    <w:p>
      <w:pPr>
        <w:pStyle w:val="null3"/>
        <w:jc w:val="center"/>
        <w:outlineLvl w:val="2"/>
      </w:pPr>
      <w:r>
        <w:rPr>
          <w:rFonts w:ascii="仿宋_GB2312" w:hAnsi="仿宋_GB2312" w:cs="仿宋_GB2312" w:eastAsia="仿宋_GB2312"/>
          <w:sz w:val="28"/>
          <w:b/>
        </w:rPr>
        <w:t>陕西星火工程管理有限公司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陕西星火工程管理有限公司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西安市雁塔区应急管理局</w:t>
      </w:r>
      <w:r>
        <w:rPr>
          <w:rFonts w:ascii="仿宋_GB2312" w:hAnsi="仿宋_GB2312" w:cs="仿宋_GB2312" w:eastAsia="仿宋_GB2312"/>
        </w:rPr>
        <w:t>委托，拟对</w:t>
      </w:r>
      <w:r>
        <w:rPr>
          <w:rFonts w:ascii="仿宋_GB2312" w:hAnsi="仿宋_GB2312" w:cs="仿宋_GB2312" w:eastAsia="仿宋_GB2312"/>
        </w:rPr>
        <w:t>西安市雁塔区电子三路一级消防救援站建设项目监理服务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XHZB2026-CS-049-001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西安市雁塔区电子三路一级消防救援站建设项目监理服务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西安市雁塔区电子三路一级消防救援站建设项目监理服务工作。西安市雁塔区电子三路一级消防救援站建设项目，建设地点位于西安市雁塔区，东邻北山门安置楼、西邻西京社区南区、南邻二零五所社区、北邻西京社区。主要建设1栋综合楼、1座训练塔及相关基础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采购包1（634602.51）：属于专门面向中小企业采购。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1、企业资质：供应商应具备建设行政主管部门颁发的工程监理综合资质或房屋建筑工程专业监理丙级及以上资质；</w:t>
      </w:r>
    </w:p>
    <w:p>
      <w:pPr>
        <w:pStyle w:val="null3"/>
      </w:pPr>
      <w:r>
        <w:rPr>
          <w:rFonts w:ascii="仿宋_GB2312" w:hAnsi="仿宋_GB2312" w:cs="仿宋_GB2312" w:eastAsia="仿宋_GB2312"/>
        </w:rPr>
        <w:t>2、总监理工程师：拟派总监理工程师具有房屋建筑工程专业注册监理工程师资格证书；在本单位注册，且总监理工程师在监项目不得超过三项（包含本项目）,若有在监项目，应提供原建设单位同意的意见书；</w:t>
      </w:r>
    </w:p>
    <w:p>
      <w:pPr>
        <w:pStyle w:val="null3"/>
      </w:pPr>
      <w:r>
        <w:rPr>
          <w:rFonts w:ascii="仿宋_GB2312" w:hAnsi="仿宋_GB2312" w:cs="仿宋_GB2312" w:eastAsia="仿宋_GB2312"/>
        </w:rPr>
        <w:t>3、身份证明：法定代表人直接参加磋商的须出具法定代表人身份证（须与营业执照上信息一致），法定代表人授权代表参加磋商的须出具法定代表人授权书及授权代表身份证</w:t>
      </w:r>
    </w:p>
    <w:p>
      <w:pPr>
        <w:pStyle w:val="null3"/>
      </w:pPr>
      <w:r>
        <w:rPr>
          <w:rFonts w:ascii="仿宋_GB2312" w:hAnsi="仿宋_GB2312" w:cs="仿宋_GB2312" w:eastAsia="仿宋_GB2312"/>
        </w:rPr>
        <w:t>4、信用查询：供应商在递交响应文件截止时间前在信用中国网站（www.creditchina.gov.cn）和中国政府采购网（www.ccgp.gov.cn）上被列入失信被执行人、重大税收违法案件当事人名单、政府采购严重违法失信行为记录名单的，不得参加磋商</w:t>
      </w:r>
    </w:p>
    <w:p>
      <w:pPr>
        <w:pStyle w:val="null3"/>
      </w:pPr>
      <w:r>
        <w:rPr>
          <w:rFonts w:ascii="仿宋_GB2312" w:hAnsi="仿宋_GB2312" w:cs="仿宋_GB2312" w:eastAsia="仿宋_GB2312"/>
        </w:rPr>
        <w:t>5、供应商不得存在下列情形之一：供应商不得存在下列情形之一：（1）单位负责人为同一人或者存在直接控股、管理关系的不同供应商，不得参加本次采购活动；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029-85381834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陕西星火工程管理有限公司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西安市高新区高新路88号尚品国际C幢北12804室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安孜、黄旭、宋培嘉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029-88852300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采购包1：634,602.51元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代理服务费收费标准：参照国家发改委发改价格[2011]534号文件及国家计委计价格[2002]1980号文件规定计取，按以上标准下浮30%收取，不足2000元，按2000元收取。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西安市雁塔区应急管理局</w:t>
      </w:r>
      <w:r>
        <w:rPr>
          <w:rFonts w:ascii="仿宋_GB2312" w:hAnsi="仿宋_GB2312" w:cs="仿宋_GB2312" w:eastAsia="仿宋_GB2312"/>
        </w:rPr>
        <w:t>和</w:t>
      </w:r>
      <w:r>
        <w:rPr>
          <w:rFonts w:ascii="仿宋_GB2312" w:hAnsi="仿宋_GB2312" w:cs="仿宋_GB2312" w:eastAsia="仿宋_GB2312"/>
        </w:rPr>
        <w:t>陕西星火工程管理有限公司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陕西星火工程管理有限公司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陕西星火工程管理有限公司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联系人：安孜、黄旭、宋培嘉</w:t>
      </w:r>
    </w:p>
    <w:p>
      <w:pPr>
        <w:pStyle w:val="null3"/>
      </w:pPr>
      <w:r>
        <w:rPr>
          <w:rFonts w:ascii="仿宋_GB2312" w:hAnsi="仿宋_GB2312" w:cs="仿宋_GB2312" w:eastAsia="仿宋_GB2312"/>
        </w:rPr>
        <w:t>联系电话：029-88852300</w:t>
      </w:r>
    </w:p>
    <w:p>
      <w:pPr>
        <w:pStyle w:val="null3"/>
      </w:pPr>
      <w:r>
        <w:rPr>
          <w:rFonts w:ascii="仿宋_GB2312" w:hAnsi="仿宋_GB2312" w:cs="仿宋_GB2312" w:eastAsia="仿宋_GB2312"/>
        </w:rPr>
        <w:t>地址：西安市高新区高新路88号尚品国际C幢北12804室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西安市雁塔区电子三路一级消防救援站建设项目监理服务工作。西安市雁塔区电子三路一级消防救援站建设项目，建设地点位于西安市雁塔区，东邻北山门安置楼、西邻西京社区南区、南邻二零五所社区、北邻西京社区。主要建设1栋综合楼、1座训练塔及相关基础配套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634,602.51</w:t>
      </w:r>
    </w:p>
    <w:p>
      <w:pPr>
        <w:pStyle w:val="null3"/>
      </w:pPr>
      <w:r>
        <w:rPr>
          <w:rFonts w:ascii="仿宋_GB2312" w:hAnsi="仿宋_GB2312" w:cs="仿宋_GB2312" w:eastAsia="仿宋_GB2312"/>
        </w:rPr>
        <w:t>采购包最高限价（元）: 634,602.51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西安市雁塔区电子三路一级消防救援站建设项目监理服务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634,602.51</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标的名称：西安市雁塔区电子三路一级消防救援站建设项目监理服务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西安市雁塔区电子三路一级消防救援站建设项目提供监理服务。西安市雁塔区电子三路一级消防救援站建设项目，建设地点位于西安市雁塔区，东邻北山门安置楼、西邻西京社区南区、南邻二零五所社区、北邻西京社区。主要建设</w:t>
            </w:r>
            <w:r>
              <w:rPr>
                <w:rFonts w:ascii="仿宋_GB2312" w:hAnsi="仿宋_GB2312" w:cs="仿宋_GB2312" w:eastAsia="仿宋_GB2312"/>
              </w:rPr>
              <w:t>1栋综合楼、1座训练塔及相关基础配套设施。</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1、监理范围：包括但不限于消防救援站的全部监理工作及缺陷责任期的监理工作。</w:t>
            </w:r>
          </w:p>
          <w:p>
            <w:pPr>
              <w:pStyle w:val="null3"/>
            </w:pPr>
            <w:r>
              <w:rPr>
                <w:rFonts w:ascii="仿宋_GB2312" w:hAnsi="仿宋_GB2312" w:cs="仿宋_GB2312" w:eastAsia="仿宋_GB2312"/>
              </w:rPr>
              <w:t>2、监理工作内容：监理范围内采购项目的质量控制、投资控制、进度控制、安全文明生产控制、合同管理、信息管理以及与有关设计人、承包人及设备材料供应商等其它第三方的协调工作。对采购项目投资、进度、质量、安全进行控制，协助建设单位实施合同管理、信息管理并做好现场组织协调工作。</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1、准备工作：编制一份切实可行的监理方案及实施细则并在监理工作的过程中认真贯彻实施。</w:t>
            </w:r>
          </w:p>
          <w:p>
            <w:pPr>
              <w:pStyle w:val="null3"/>
            </w:pPr>
            <w:r>
              <w:rPr>
                <w:rFonts w:ascii="仿宋_GB2312" w:hAnsi="仿宋_GB2312" w:cs="仿宋_GB2312" w:eastAsia="仿宋_GB2312"/>
              </w:rPr>
              <w:t>2、进度控制：在确保服务质量和安全的原则下，依据建设工程服务合同所约定的工期目标，采用动态控制的方法，对工程进度进行主动控制。编制合理的服务进度控制程序，按照总体工期要求结合工程自身本项目特点，控制服务单位按时保质的进行施工。</w:t>
            </w:r>
          </w:p>
          <w:p>
            <w:pPr>
              <w:pStyle w:val="null3"/>
            </w:pPr>
            <w:r>
              <w:rPr>
                <w:rFonts w:ascii="仿宋_GB2312" w:hAnsi="仿宋_GB2312" w:cs="仿宋_GB2312" w:eastAsia="仿宋_GB2312"/>
              </w:rPr>
              <w:t>3、质量控制：以工程施工质量验收统一标准及验收规范等为依据，严格按工程质量控制的方法指导本项目实施全过程工作，包括方案审核、过程监督、过程验收、竣工验收等，督促服务单位全面实现服务合同约定的质量目标。对本项目进行全面质量控制，监督服务单位的质量管理、技术管理和质量保证等体系落实到位。</w:t>
            </w:r>
          </w:p>
          <w:p>
            <w:pPr>
              <w:pStyle w:val="null3"/>
            </w:pPr>
            <w:r>
              <w:rPr>
                <w:rFonts w:ascii="仿宋_GB2312" w:hAnsi="仿宋_GB2312" w:cs="仿宋_GB2312" w:eastAsia="仿宋_GB2312"/>
              </w:rPr>
              <w:t>4、生产、消防等安全控制：落实安全防护、绿化、文明措施情况，应当对服务单位落实安全防护、文明施工措施情况进行现场监理。</w:t>
            </w:r>
          </w:p>
          <w:p>
            <w:pPr>
              <w:pStyle w:val="null3"/>
            </w:pPr>
            <w:r>
              <w:rPr>
                <w:rFonts w:ascii="仿宋_GB2312" w:hAnsi="仿宋_GB2312" w:cs="仿宋_GB2312" w:eastAsia="仿宋_GB2312"/>
              </w:rPr>
              <w:t>5、投资控制：严格控制变更洽商的发生，制定相应的控制措施，严格控制形象进度的审核，严格控制本项目按照合同成本进行实施。对服务工程量进行现场确认、审核计量、支付、竣工结算、索赔等，按委托人造价管理程序进行造价控制，并对本项目服务变更涉及费用增加或减少的提出审核意见。在服务合同约定的时限内对服务工程量及工程价款进行审核。</w:t>
            </w:r>
          </w:p>
          <w:p>
            <w:pPr>
              <w:pStyle w:val="null3"/>
            </w:pPr>
            <w:r>
              <w:rPr>
                <w:rFonts w:ascii="仿宋_GB2312" w:hAnsi="仿宋_GB2312" w:cs="仿宋_GB2312" w:eastAsia="仿宋_GB2312"/>
              </w:rPr>
              <w:t>6、合同管理：充分发挥自身的专业特长，在合同订立前采取严肃、认真的态度做好市场预测和资信调查，对各类合同的条款分别进行认真研究，并找出不同的缺陷和弱点，提出解决问题的办法。</w:t>
            </w:r>
          </w:p>
          <w:p>
            <w:pPr>
              <w:pStyle w:val="null3"/>
            </w:pPr>
            <w:r>
              <w:rPr>
                <w:rFonts w:ascii="仿宋_GB2312" w:hAnsi="仿宋_GB2312" w:cs="仿宋_GB2312" w:eastAsia="仿宋_GB2312"/>
              </w:rPr>
              <w:t>7、信息管理：为实践本项目预定总目标，加强现场资料的管理工作，特别是声像资料的管理，对所需要的信息进行收集、整理、处理、存储、传递、应用等一系列工作。</w:t>
            </w:r>
          </w:p>
          <w:p>
            <w:pPr>
              <w:pStyle w:val="null3"/>
            </w:pPr>
            <w:r>
              <w:rPr>
                <w:rFonts w:ascii="仿宋_GB2312" w:hAnsi="仿宋_GB2312" w:cs="仿宋_GB2312" w:eastAsia="仿宋_GB2312"/>
              </w:rPr>
              <w:t>8、协调：协调各项服务段及各专业的开展顺序和进出场时间，确保已确定总工期目标的实现。利用监理例会沟通情况，研究解决合同履行中存在的各方面问题，协调处理。</w:t>
            </w:r>
          </w:p>
          <w:p>
            <w:pPr>
              <w:pStyle w:val="null3"/>
            </w:pPr>
            <w:r>
              <w:rPr>
                <w:rFonts w:ascii="仿宋_GB2312" w:hAnsi="仿宋_GB2312" w:cs="仿宋_GB2312" w:eastAsia="仿宋_GB2312"/>
              </w:rPr>
              <w:t>9、编制完备的监理资料、督促审核服务单位的相关资料。</w:t>
            </w:r>
          </w:p>
          <w:p>
            <w:pPr>
              <w:pStyle w:val="null3"/>
            </w:pPr>
            <w:r>
              <w:rPr>
                <w:rFonts w:ascii="仿宋_GB2312" w:hAnsi="仿宋_GB2312" w:cs="仿宋_GB2312" w:eastAsia="仿宋_GB2312"/>
              </w:rPr>
              <w:t>10、协助委托人对完成本项目其他相关工作。</w:t>
            </w:r>
          </w:p>
          <w:p>
            <w:pPr>
              <w:pStyle w:val="null3"/>
            </w:pPr>
            <w:r>
              <w:rPr>
                <w:rFonts w:ascii="仿宋_GB2312" w:hAnsi="仿宋_GB2312" w:cs="仿宋_GB2312" w:eastAsia="仿宋_GB2312"/>
                <w:sz w:val="21"/>
              </w:rPr>
              <w:t>四</w:t>
            </w:r>
            <w:r>
              <w:rPr>
                <w:rFonts w:ascii="仿宋_GB2312" w:hAnsi="仿宋_GB2312" w:cs="仿宋_GB2312" w:eastAsia="仿宋_GB2312"/>
                <w:sz w:val="21"/>
              </w:rPr>
              <w:t>、质量标准：</w:t>
            </w:r>
            <w:r>
              <w:rPr>
                <w:rFonts w:ascii="仿宋_GB2312" w:hAnsi="仿宋_GB2312" w:cs="仿宋_GB2312" w:eastAsia="仿宋_GB2312"/>
                <w:sz w:val="21"/>
              </w:rPr>
              <w:t>符合国家及行业相关要求标准，满足采购人的需求。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监理服务期150日历天、缺陷责任期两年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预付款，在合同签订后，达到付款条件起20个工作日内，支付合同总金额的40.0%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进度款，工程竣工验收合格后，达到付款条件起20个工作日内，支付合同总金额的40.0%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进度款，结算审核完成后，达到付款条件起20个工作日内，支付合同总金额的20.0%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供应商应具备建设行政主管部门颁发的工程监理综合资质或房屋建筑工程专业监理丙级及以上资质；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总监理工程师</w:t>
            </w:r>
          </w:p>
        </w:tc>
        <w:tc>
          <w:tcPr>
            <w:tcW w:type="dxa" w:w="3322"/>
          </w:tcPr>
          <w:p>
            <w:pPr>
              <w:pStyle w:val="null3"/>
            </w:pPr>
            <w:r>
              <w:rPr>
                <w:rFonts w:ascii="仿宋_GB2312" w:hAnsi="仿宋_GB2312" w:cs="仿宋_GB2312" w:eastAsia="仿宋_GB2312"/>
              </w:rPr>
              <w:t>拟派总监理工程师具有房屋建筑工程专业注册监理工程师资格证书；在本单位注册，且总监理工程师在监项目不得超过三项（包含本项目）,若有在监项目，应提供原建设单位同意的意见书；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法定代表人直接参加磋商的须出具法定代表人身份证（须与营业执照上信息一致），法定代表人授权代表参加磋商的须出具法定代表人授权书及授权代表身份证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在信用中国网站（www.creditchina.gov.cn）和中国政府采购网（www.ccgp.gov.cn）上被列入失信被执行人、重大税收违法案件当事人名单、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报价表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按竞争性磋商文件格式要求加盖了供应商公章和有法定代表人或其授权代表签字或加盖人名章。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供应商报价是固定金额，符合市场价格规律，未低于成本恶意竞争。且未超过预算金额（磋商文件有最高限价的，报价未超过最高限价）；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磋商响应报价表.docx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响应承诺书.docx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 其中响应文件有效期：有效期满足磋商文件要求的； 响应文件格式：响应文件按规定的格式填写，内容完整且关键字迹清晰； 备选方案：供应商不得提交两份或者多份内容不同的响应文件，或者在同一份响应文件中对同一磋商项目有两个或者多个报价； 响应文件内容：供应商提供的服务无实质性遗漏； 技术响应：符合“采购需求”要求，保证服务质量且无重大偏差； 服务期和服务地点：满足磋商文件要求； 付款方式：磋商文件不允许偏差时，响应文件无负偏差；</w:t>
            </w:r>
          </w:p>
        </w:tc>
        <w:tc>
          <w:tcPr>
            <w:tcW w:type="dxa" w:w="1661"/>
          </w:tcPr>
          <w:p>
            <w:pPr>
              <w:pStyle w:val="null3"/>
            </w:pPr>
            <w:r>
              <w:rPr>
                <w:rFonts w:ascii="仿宋_GB2312" w:hAnsi="仿宋_GB2312" w:cs="仿宋_GB2312" w:eastAsia="仿宋_GB2312"/>
              </w:rPr>
              <w:t>磋商响应报价表.docx 响应文件封面 响应承诺书.docx 供应商应提交的相关资格证明材料.docx 中小企业声明函.docx 残疾人福利性单位声明函 偏离表.docx 标的清单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供应商对本项目的总体实施方案，内容包括：①项目概况分析②监理工作总体思路。 二、评审标准 1.完整性：切合本项目实际情况，方案内容全面，且有详细描述； 2.合理性：方案分析符合项目实际特点，合理、恰当； 三、赋分标准（满分5分） ①项目概况分析：每完全满足一个评审标准得1.5分，满分3分； ②监理工作总体思路：每完全满足一个评审标准得1分，满分2分；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质量控制管理措施</w:t>
            </w:r>
          </w:p>
        </w:tc>
        <w:tc>
          <w:tcPr>
            <w:tcW w:type="dxa" w:w="2492"/>
          </w:tcPr>
          <w:p>
            <w:pPr>
              <w:pStyle w:val="null3"/>
            </w:pPr>
            <w:r>
              <w:rPr>
                <w:rFonts w:ascii="仿宋_GB2312" w:hAnsi="仿宋_GB2312" w:cs="仿宋_GB2312" w:eastAsia="仿宋_GB2312"/>
              </w:rPr>
              <w:t>一、评审内容 供应商针对本项目提供质量控制管理措施，内容包括：①质量控制措施②质量控制目标。 二、评审标准 1.完整性：切合本项目实际情况，方案内容全面，且有详细描述； 2.合理性：方案分析符合项目实际特点，合理、恰当； 三、赋分标准（满分5分） ①质量控制措施：每完全满足一个评审标准得1.5分，满分3分； ②质量控制目标：每完全满足一个评审标准得1分，满分2分；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进度控制管理措施</w:t>
            </w:r>
          </w:p>
        </w:tc>
        <w:tc>
          <w:tcPr>
            <w:tcW w:type="dxa" w:w="2492"/>
          </w:tcPr>
          <w:p>
            <w:pPr>
              <w:pStyle w:val="null3"/>
            </w:pPr>
            <w:r>
              <w:rPr>
                <w:rFonts w:ascii="仿宋_GB2312" w:hAnsi="仿宋_GB2312" w:cs="仿宋_GB2312" w:eastAsia="仿宋_GB2312"/>
              </w:rPr>
              <w:t>一、评审内容 供应商针对本项目提供进度控制管理措施，内容包括：①进度保障措施②进度控制目标。 二、评审标准 1.完整性：切合本项目实际情况，方案内容全面，且有详细描述； 2.合理性：方案分析符合项目实际特点，合理、恰当； 三、赋分标准（满分5分） ①进度保障措施：每完全满足一个评审标准得1.5分，满分3分； ②进度控制目标：每完全满足一个评审标准得1分，满分2分；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施工安全监督管理措施</w:t>
            </w:r>
          </w:p>
        </w:tc>
        <w:tc>
          <w:tcPr>
            <w:tcW w:type="dxa" w:w="2492"/>
          </w:tcPr>
          <w:p>
            <w:pPr>
              <w:pStyle w:val="null3"/>
            </w:pPr>
            <w:r>
              <w:rPr>
                <w:rFonts w:ascii="仿宋_GB2312" w:hAnsi="仿宋_GB2312" w:cs="仿宋_GB2312" w:eastAsia="仿宋_GB2312"/>
              </w:rPr>
              <w:t>一、评审内容 供应商针对本项目提供施工安全监督管理措施，内容包括：①施工安全监督管理措施②施工安全监督控制要点。 二、评审标准 1.完整性：切合本项目实际情况，方案内容全面，且有详细描述； 2.合理性：方案分析符合项目实际特点，合理、恰当； 三、赋分标准（满分5分） ①施工安全监督管理措施：每完全满足一个评审标准得1.5分，满分3分； ②施工安全监督控制要点：每完全满足一个评审标准得1分，满分2分；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投资控制管理措施</w:t>
            </w:r>
          </w:p>
        </w:tc>
        <w:tc>
          <w:tcPr>
            <w:tcW w:type="dxa" w:w="2492"/>
          </w:tcPr>
          <w:p>
            <w:pPr>
              <w:pStyle w:val="null3"/>
            </w:pPr>
            <w:r>
              <w:rPr>
                <w:rFonts w:ascii="仿宋_GB2312" w:hAnsi="仿宋_GB2312" w:cs="仿宋_GB2312" w:eastAsia="仿宋_GB2312"/>
              </w:rPr>
              <w:t>一、评审内容 针对本项目的投资控制管理措施，内容包括：①投资控制管理措施②投资控制工作目标。 二、评审标准 1.完整性：切合本项目实际情况，方案内容全面，且有详细描述； 2.合理性：方案分析符合项目实际特点，合理、恰当； 三、赋分标准（满分5分） ①投资控制管理措施：每完全满足一个评审标准得1.5分，满分3分； ②投资控制工作目标：每完全满足一个评审标准得1分，满分2分；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监理资料管理方案</w:t>
            </w:r>
          </w:p>
        </w:tc>
        <w:tc>
          <w:tcPr>
            <w:tcW w:type="dxa" w:w="2492"/>
          </w:tcPr>
          <w:p>
            <w:pPr>
              <w:pStyle w:val="null3"/>
            </w:pPr>
            <w:r>
              <w:rPr>
                <w:rFonts w:ascii="仿宋_GB2312" w:hAnsi="仿宋_GB2312" w:cs="仿宋_GB2312" w:eastAsia="仿宋_GB2312"/>
              </w:rPr>
              <w:t>一、评审内容 针对本项目的监理资料管理方案，内容包括：①监理资料的整理②监理资料的保管。 二、评审标准 1.完整性：切合本项目实际情况，方案内容全面，且有详细描述； 2.合理性：方案分析符合项目实际特点，合理、恰当； 三、赋分标准（满分5分） ①监理资料的整理：每完全满足一个评审标准得1.5分，满分3分； ②监理资料的保管：每完全满足一个评审标准得1分，满分2分；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沟通协调与应急保障方案</w:t>
            </w:r>
          </w:p>
        </w:tc>
        <w:tc>
          <w:tcPr>
            <w:tcW w:type="dxa" w:w="2492"/>
          </w:tcPr>
          <w:p>
            <w:pPr>
              <w:pStyle w:val="null3"/>
            </w:pPr>
            <w:r>
              <w:rPr>
                <w:rFonts w:ascii="仿宋_GB2312" w:hAnsi="仿宋_GB2312" w:cs="仿宋_GB2312" w:eastAsia="仿宋_GB2312"/>
              </w:rPr>
              <w:t>一、评审内容 针对本项目的沟通协调与应急保障服务方案，内容包括：①沟通协调方案②应急保障方案。 二、评审标准 1.完整性：切合本项目实际情况，方案内容全面，且有详细描述； 2.合理性：方案分析符合项目实际特点，合理、恰当； 三、赋分标准（满分5分） ①沟通协调方案：每完全满足一个评审标准得1.5分，满分3分； ②应急保障方案：每完全满足一个评审标准得1分，满分2分；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针对本项目的合理化建议，内容包括：①质量管理建议②进度管理建议。 二、评审标准 1.完整性：切合本项目实际情况，方案内容全面，且有详细描述； 2.合理性：方案分析符合项目实际特点，合理、恰当； 三、赋分标准（满分5分） ①质量管理建议：每完全满足一个评审标准得1.5分，满分3分； ②进度管理建议：每完全满足一个评审标准得1分，满分2分；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办公设备配置</w:t>
            </w:r>
          </w:p>
        </w:tc>
        <w:tc>
          <w:tcPr>
            <w:tcW w:type="dxa" w:w="2492"/>
          </w:tcPr>
          <w:p>
            <w:pPr>
              <w:pStyle w:val="null3"/>
            </w:pPr>
            <w:r>
              <w:rPr>
                <w:rFonts w:ascii="仿宋_GB2312" w:hAnsi="仿宋_GB2312" w:cs="仿宋_GB2312" w:eastAsia="仿宋_GB2312"/>
              </w:rPr>
              <w:t>拟投入本项目的办公设备（如电脑、打印机、照相机等）满足现场监理工作需要，每提供一项得1分，本项最多得5分。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监理检测设备</w:t>
            </w:r>
          </w:p>
        </w:tc>
        <w:tc>
          <w:tcPr>
            <w:tcW w:type="dxa" w:w="2492"/>
          </w:tcPr>
          <w:p>
            <w:pPr>
              <w:pStyle w:val="null3"/>
            </w:pPr>
            <w:r>
              <w:rPr>
                <w:rFonts w:ascii="仿宋_GB2312" w:hAnsi="仿宋_GB2312" w:cs="仿宋_GB2312" w:eastAsia="仿宋_GB2312"/>
              </w:rPr>
              <w:t>拟投入本项目的常用检测设备（如回弹仪、测距仪、经纬仪、游标卡尺、卷尺等），每提供一项得1分，本项最多得5分。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总监理工程师职称</w:t>
            </w:r>
          </w:p>
        </w:tc>
        <w:tc>
          <w:tcPr>
            <w:tcW w:type="dxa" w:w="2492"/>
          </w:tcPr>
          <w:p>
            <w:pPr>
              <w:pStyle w:val="null3"/>
            </w:pPr>
            <w:r>
              <w:rPr>
                <w:rFonts w:ascii="仿宋_GB2312" w:hAnsi="仿宋_GB2312" w:cs="仿宋_GB2312" w:eastAsia="仿宋_GB2312"/>
              </w:rPr>
              <w:t>总监理工程师具备工程类相关专业中级及以上职称得2分，未提供不得分；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总监理工程师业绩</w:t>
            </w:r>
          </w:p>
        </w:tc>
        <w:tc>
          <w:tcPr>
            <w:tcW w:type="dxa" w:w="2492"/>
          </w:tcPr>
          <w:p>
            <w:pPr>
              <w:pStyle w:val="null3"/>
            </w:pPr>
            <w:r>
              <w:rPr>
                <w:rFonts w:ascii="仿宋_GB2312" w:hAnsi="仿宋_GB2312" w:cs="仿宋_GB2312" w:eastAsia="仿宋_GB2312"/>
              </w:rPr>
              <w:t>拟派总监理工程师具有近三年（2023年1月1日至今）同类项目的业绩，需提供中标（成交）通知书或合同复印件或竣工验收报告复印件。（注：需体现项目经理名称）每提供一个计2.5分，满分5分。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团队人员（含总监）达到3人计3分（低于3人不计分），每增加1人加1分，满分5分。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团队培训与考核</w:t>
            </w:r>
          </w:p>
        </w:tc>
        <w:tc>
          <w:tcPr>
            <w:tcW w:type="dxa" w:w="2492"/>
          </w:tcPr>
          <w:p>
            <w:pPr>
              <w:pStyle w:val="null3"/>
            </w:pPr>
            <w:r>
              <w:rPr>
                <w:rFonts w:ascii="仿宋_GB2312" w:hAnsi="仿宋_GB2312" w:cs="仿宋_GB2312" w:eastAsia="仿宋_GB2312"/>
              </w:rPr>
              <w:t>1.供应商近1年组织过不少于2次的监理业务培训，提供培训记录得3分，未提供不得分； 2.供应商建立了完善的考核制度，提供制度文件得2分，未提供不得分；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质量、环境、安全体系</w:t>
            </w:r>
          </w:p>
        </w:tc>
        <w:tc>
          <w:tcPr>
            <w:tcW w:type="dxa" w:w="2492"/>
          </w:tcPr>
          <w:p>
            <w:pPr>
              <w:pStyle w:val="null3"/>
            </w:pPr>
            <w:r>
              <w:rPr>
                <w:rFonts w:ascii="仿宋_GB2312" w:hAnsi="仿宋_GB2312" w:cs="仿宋_GB2312" w:eastAsia="仿宋_GB2312"/>
              </w:rPr>
              <w:t>质量管理体系、环境管理体系、职业安全健康管理体系认证证书：有1项有效的体系证书得1分，最多得3分。 评审依据：以供应商加盖公章的复印件或扫描件为准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针对本项目实际情况，结合项目特点为采购人提供相应的增值服务内容，每提供一个得2.5分，满分5分。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供应商提供近三年（2023年1月1日至今）同类项目业绩，响应文件中附有其业绩证明材料，业绩以合同文件或中标（成交）通知书为依据，每提供一个计2.5分，满分10分。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详见附件：响应承诺书.docx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详见附件：委托监理合同.docx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