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7E6BDD">
      <w:pPr>
        <w:pStyle w:val="11"/>
        <w:keepNext w:val="0"/>
        <w:keepLines w:val="0"/>
        <w:pageBreakBefore w:val="0"/>
        <w:widowControl/>
        <w:numPr>
          <w:ilvl w:val="0"/>
          <w:numId w:val="0"/>
        </w:numPr>
        <w:kinsoku/>
        <w:wordWrap/>
        <w:overflowPunct/>
        <w:topLinePunct w:val="0"/>
        <w:autoSpaceDE/>
        <w:autoSpaceDN/>
        <w:bidi w:val="0"/>
        <w:adjustRightInd/>
        <w:snapToGrid/>
        <w:spacing w:after="251" w:afterLines="80" w:line="480" w:lineRule="auto"/>
        <w:jc w:val="center"/>
        <w:textAlignment w:val="auto"/>
        <w:outlineLvl w:val="1"/>
        <w:rPr>
          <w:rFonts w:ascii="仿宋_GB2312" w:hAnsi="仿宋_GB2312" w:eastAsia="仿宋_GB2312" w:cs="仿宋_GB2312"/>
          <w:b/>
          <w:sz w:val="36"/>
        </w:rPr>
      </w:pPr>
      <w:r>
        <w:rPr>
          <w:rFonts w:hint="eastAsia" w:ascii="仿宋_GB2312" w:hAnsi="仿宋_GB2312" w:eastAsia="仿宋_GB2312" w:cs="仿宋_GB2312"/>
          <w:b/>
          <w:sz w:val="36"/>
          <w:lang w:val="en-US" w:eastAsia="zh-Hans"/>
        </w:rPr>
        <w:t>第七章</w:t>
      </w:r>
      <w:r>
        <w:rPr>
          <w:rFonts w:hint="eastAsia" w:ascii="仿宋_GB2312" w:hAnsi="仿宋_GB2312" w:eastAsia="仿宋_GB2312" w:cs="仿宋_GB2312"/>
          <w:b/>
          <w:sz w:val="36"/>
          <w:lang w:val="en-US" w:eastAsia="zh-CN"/>
        </w:rPr>
        <w:t xml:space="preserve"> </w:t>
      </w:r>
      <w:r>
        <w:rPr>
          <w:rFonts w:ascii="仿宋_GB2312" w:hAnsi="仿宋_GB2312" w:eastAsia="仿宋_GB2312" w:cs="仿宋_GB2312"/>
          <w:b/>
          <w:sz w:val="36"/>
        </w:rPr>
        <w:t>拟签订合同文本</w:t>
      </w:r>
    </w:p>
    <w:p w14:paraId="6E2BD1EF">
      <w:pPr>
        <w:ind w:left="0" w:leftChars="0" w:firstLine="0" w:firstLineChars="0"/>
        <w:jc w:val="center"/>
        <w:rPr>
          <w:rFonts w:hint="eastAsia" w:ascii="仿宋" w:hAnsi="仿宋" w:eastAsia="仿宋" w:cs="仿宋"/>
          <w:spacing w:val="-3"/>
          <w:sz w:val="44"/>
          <w:szCs w:val="44"/>
          <w:lang w:val="en-US" w:eastAsia="zh-CN"/>
        </w:rPr>
      </w:pPr>
      <w:r>
        <w:rPr>
          <w:rFonts w:hint="eastAsia" w:ascii="仿宋" w:hAnsi="仿宋" w:eastAsia="仿宋" w:cs="仿宋"/>
          <w:b/>
          <w:bCs/>
          <w:spacing w:val="-3"/>
          <w:sz w:val="24"/>
          <w:szCs w:val="24"/>
          <w:lang w:val="en-US" w:eastAsia="zh-CN"/>
        </w:rPr>
        <w:t>（注：本合同仅为合同的参考文本，合同签订双方可根据项目的具体要求进行修订。）</w:t>
      </w:r>
    </w:p>
    <w:p w14:paraId="434DFC04">
      <w:pPr>
        <w:ind w:left="0" w:leftChars="0" w:firstLine="0" w:firstLineChars="0"/>
        <w:jc w:val="center"/>
        <w:rPr>
          <w:rFonts w:hint="eastAsia" w:ascii="仿宋" w:hAnsi="仿宋" w:eastAsia="仿宋" w:cs="仿宋"/>
          <w:spacing w:val="-3"/>
          <w:sz w:val="44"/>
          <w:szCs w:val="44"/>
          <w:lang w:val="en-US" w:eastAsia="zh-CN"/>
        </w:rPr>
      </w:pPr>
    </w:p>
    <w:p w14:paraId="0B6F06F1">
      <w:pPr>
        <w:ind w:left="0" w:leftChars="0" w:firstLine="0" w:firstLineChars="0"/>
        <w:jc w:val="center"/>
        <w:rPr>
          <w:rFonts w:hint="eastAsia" w:ascii="仿宋" w:hAnsi="仿宋" w:eastAsia="仿宋" w:cs="仿宋"/>
          <w:spacing w:val="-3"/>
          <w:sz w:val="44"/>
          <w:szCs w:val="44"/>
          <w:lang w:val="en-US" w:eastAsia="zh-CN"/>
        </w:rPr>
      </w:pPr>
    </w:p>
    <w:p w14:paraId="10DB98DA">
      <w:pPr>
        <w:ind w:left="0" w:leftChars="0" w:firstLine="0" w:firstLineChars="0"/>
        <w:jc w:val="center"/>
        <w:rPr>
          <w:rFonts w:hint="eastAsia" w:ascii="仿宋" w:hAnsi="仿宋" w:eastAsia="仿宋" w:cs="仿宋"/>
          <w:spacing w:val="-3"/>
          <w:sz w:val="44"/>
          <w:szCs w:val="44"/>
          <w:lang w:val="en-US" w:eastAsia="zh-CN"/>
        </w:rPr>
      </w:pPr>
      <w:r>
        <w:rPr>
          <w:rFonts w:hint="eastAsia" w:ascii="仿宋" w:hAnsi="仿宋" w:eastAsia="仿宋" w:cs="仿宋"/>
          <w:spacing w:val="-3"/>
          <w:sz w:val="44"/>
          <w:szCs w:val="44"/>
          <w:lang w:val="en-US" w:eastAsia="zh-CN"/>
        </w:rPr>
        <w:t>BIM运维平台项目</w:t>
      </w:r>
    </w:p>
    <w:p w14:paraId="5BA31E92">
      <w:pPr>
        <w:ind w:left="0" w:leftChars="0" w:firstLine="0" w:firstLineChars="0"/>
        <w:jc w:val="both"/>
        <w:rPr>
          <w:rFonts w:hint="eastAsia" w:ascii="仿宋" w:hAnsi="仿宋" w:eastAsia="仿宋" w:cs="仿宋"/>
          <w:spacing w:val="-3"/>
          <w:sz w:val="44"/>
          <w:szCs w:val="44"/>
          <w:lang w:val="en-US" w:eastAsia="zh-CN"/>
        </w:rPr>
      </w:pPr>
    </w:p>
    <w:p w14:paraId="63879E68">
      <w:pPr>
        <w:ind w:left="0" w:leftChars="0" w:firstLine="0" w:firstLineChars="0"/>
        <w:jc w:val="both"/>
        <w:rPr>
          <w:rFonts w:hint="eastAsia" w:ascii="仿宋" w:hAnsi="仿宋" w:eastAsia="仿宋" w:cs="仿宋"/>
          <w:spacing w:val="-3"/>
          <w:sz w:val="44"/>
          <w:szCs w:val="44"/>
          <w:lang w:val="en-US" w:eastAsia="zh-CN"/>
        </w:rPr>
      </w:pPr>
    </w:p>
    <w:p w14:paraId="7695EFC8">
      <w:pPr>
        <w:ind w:left="0" w:leftChars="0" w:firstLine="0" w:firstLineChars="0"/>
        <w:jc w:val="center"/>
        <w:rPr>
          <w:rFonts w:hint="eastAsia" w:ascii="仿宋" w:hAnsi="仿宋" w:eastAsia="仿宋" w:cs="仿宋"/>
          <w:spacing w:val="-3"/>
          <w:sz w:val="44"/>
          <w:szCs w:val="44"/>
          <w:lang w:val="en-US" w:eastAsia="zh-CN"/>
        </w:rPr>
      </w:pPr>
      <w:r>
        <w:rPr>
          <w:rFonts w:hint="eastAsia" w:ascii="仿宋" w:hAnsi="仿宋" w:eastAsia="仿宋" w:cs="仿宋"/>
          <w:spacing w:val="-3"/>
          <w:sz w:val="44"/>
          <w:szCs w:val="44"/>
          <w:lang w:val="en-US" w:eastAsia="zh-CN"/>
        </w:rPr>
        <w:t>采</w:t>
      </w:r>
      <w:bookmarkStart w:id="7" w:name="_GoBack"/>
      <w:bookmarkEnd w:id="7"/>
    </w:p>
    <w:p w14:paraId="3D09EA2D">
      <w:pPr>
        <w:ind w:left="0" w:leftChars="0" w:firstLine="0" w:firstLineChars="0"/>
        <w:jc w:val="center"/>
        <w:rPr>
          <w:rFonts w:hint="eastAsia" w:ascii="仿宋" w:hAnsi="仿宋" w:eastAsia="仿宋" w:cs="仿宋"/>
          <w:spacing w:val="-3"/>
          <w:sz w:val="44"/>
          <w:szCs w:val="44"/>
          <w:lang w:val="en-US" w:eastAsia="zh-CN"/>
        </w:rPr>
      </w:pPr>
      <w:r>
        <w:rPr>
          <w:rFonts w:hint="eastAsia" w:ascii="仿宋" w:hAnsi="仿宋" w:eastAsia="仿宋" w:cs="仿宋"/>
          <w:spacing w:val="-3"/>
          <w:sz w:val="44"/>
          <w:szCs w:val="44"/>
          <w:lang w:val="en-US" w:eastAsia="zh-CN"/>
        </w:rPr>
        <w:t>购</w:t>
      </w:r>
    </w:p>
    <w:p w14:paraId="31004E81">
      <w:pPr>
        <w:ind w:left="0" w:leftChars="0" w:firstLine="0" w:firstLineChars="0"/>
        <w:jc w:val="center"/>
        <w:rPr>
          <w:rFonts w:hint="eastAsia" w:ascii="仿宋" w:hAnsi="仿宋" w:eastAsia="仿宋" w:cs="仿宋"/>
          <w:spacing w:val="-3"/>
          <w:sz w:val="44"/>
          <w:szCs w:val="44"/>
          <w:lang w:val="en-US" w:eastAsia="zh-CN"/>
        </w:rPr>
      </w:pPr>
      <w:r>
        <w:rPr>
          <w:rFonts w:hint="eastAsia" w:ascii="仿宋" w:hAnsi="仿宋" w:eastAsia="仿宋" w:cs="仿宋"/>
          <w:spacing w:val="-3"/>
          <w:sz w:val="44"/>
          <w:szCs w:val="44"/>
          <w:lang w:val="en-US" w:eastAsia="zh-CN"/>
        </w:rPr>
        <w:t>合</w:t>
      </w:r>
    </w:p>
    <w:p w14:paraId="6FE8AE02">
      <w:pPr>
        <w:ind w:left="0" w:leftChars="0" w:firstLine="0" w:firstLineChars="0"/>
        <w:jc w:val="center"/>
        <w:rPr>
          <w:rFonts w:hint="eastAsia" w:ascii="仿宋" w:hAnsi="仿宋" w:eastAsia="仿宋" w:cs="仿宋"/>
          <w:spacing w:val="-3"/>
          <w:sz w:val="44"/>
          <w:szCs w:val="44"/>
          <w:lang w:val="en-US" w:eastAsia="zh-CN"/>
        </w:rPr>
      </w:pPr>
      <w:r>
        <w:rPr>
          <w:rFonts w:hint="eastAsia" w:ascii="仿宋" w:hAnsi="仿宋" w:eastAsia="仿宋" w:cs="仿宋"/>
          <w:spacing w:val="-3"/>
          <w:sz w:val="44"/>
          <w:szCs w:val="44"/>
          <w:lang w:val="en-US" w:eastAsia="zh-CN"/>
        </w:rPr>
        <w:t>同</w:t>
      </w:r>
    </w:p>
    <w:p w14:paraId="61514E33">
      <w:pPr>
        <w:ind w:left="0" w:leftChars="0" w:firstLine="0" w:firstLineChars="0"/>
        <w:jc w:val="center"/>
        <w:rPr>
          <w:rFonts w:hint="eastAsia" w:ascii="仿宋" w:hAnsi="仿宋" w:eastAsia="仿宋" w:cs="仿宋"/>
          <w:spacing w:val="-3"/>
          <w:sz w:val="44"/>
          <w:szCs w:val="44"/>
          <w:lang w:val="en-US" w:eastAsia="zh-CN"/>
        </w:rPr>
      </w:pPr>
    </w:p>
    <w:p w14:paraId="7CE7CB93">
      <w:pPr>
        <w:ind w:left="0" w:leftChars="0" w:firstLine="0" w:firstLineChars="0"/>
        <w:jc w:val="center"/>
        <w:rPr>
          <w:rFonts w:hint="eastAsia" w:ascii="仿宋" w:hAnsi="仿宋" w:eastAsia="仿宋" w:cs="仿宋"/>
          <w:spacing w:val="-3"/>
          <w:sz w:val="44"/>
          <w:szCs w:val="44"/>
          <w:lang w:val="en-US" w:eastAsia="zh-CN"/>
        </w:rPr>
      </w:pPr>
    </w:p>
    <w:p w14:paraId="3E17230F">
      <w:pPr>
        <w:ind w:left="0" w:leftChars="0" w:firstLine="0" w:firstLineChars="0"/>
        <w:jc w:val="center"/>
        <w:rPr>
          <w:rFonts w:hint="default" w:ascii="仿宋" w:hAnsi="仿宋" w:eastAsia="仿宋" w:cs="仿宋"/>
          <w:spacing w:val="-3"/>
          <w:sz w:val="44"/>
          <w:szCs w:val="44"/>
          <w:lang w:val="en-US" w:eastAsia="zh-CN"/>
        </w:rPr>
      </w:pPr>
      <w:r>
        <w:rPr>
          <w:rFonts w:hint="eastAsia" w:ascii="仿宋" w:hAnsi="仿宋" w:eastAsia="仿宋" w:cs="仿宋"/>
          <w:spacing w:val="-3"/>
          <w:sz w:val="44"/>
          <w:szCs w:val="44"/>
          <w:lang w:val="en-US" w:eastAsia="zh-CN"/>
        </w:rPr>
        <w:t xml:space="preserve"> </w:t>
      </w:r>
    </w:p>
    <w:p w14:paraId="5B883F25">
      <w:pPr>
        <w:ind w:left="0" w:leftChars="0" w:firstLine="2512" w:firstLineChars="800"/>
        <w:jc w:val="both"/>
        <w:rPr>
          <w:rFonts w:hint="default" w:ascii="仿宋" w:hAnsi="仿宋" w:eastAsia="仿宋" w:cs="仿宋"/>
          <w:spacing w:val="-3"/>
          <w:sz w:val="32"/>
          <w:szCs w:val="32"/>
          <w:u w:val="single"/>
          <w:lang w:val="en-US" w:eastAsia="zh-CN"/>
        </w:rPr>
      </w:pPr>
      <w:r>
        <w:rPr>
          <w:rFonts w:hint="eastAsia" w:ascii="仿宋" w:hAnsi="仿宋" w:eastAsia="仿宋" w:cs="仿宋"/>
          <w:spacing w:val="-3"/>
          <w:sz w:val="32"/>
          <w:szCs w:val="32"/>
          <w:lang w:val="en-US" w:eastAsia="zh-CN"/>
        </w:rPr>
        <w:t>采购人：</w:t>
      </w:r>
      <w:r>
        <w:rPr>
          <w:rFonts w:hint="eastAsia" w:ascii="仿宋" w:hAnsi="仿宋" w:eastAsia="仿宋" w:cs="仿宋"/>
          <w:spacing w:val="-3"/>
          <w:sz w:val="32"/>
          <w:szCs w:val="32"/>
          <w:u w:val="single"/>
          <w:lang w:val="en-US" w:eastAsia="zh-CN"/>
        </w:rPr>
        <w:t xml:space="preserve">                    </w:t>
      </w:r>
    </w:p>
    <w:p w14:paraId="3167CC40">
      <w:pPr>
        <w:ind w:left="0" w:leftChars="0" w:firstLine="2512" w:firstLineChars="800"/>
        <w:jc w:val="both"/>
        <w:rPr>
          <w:rFonts w:hint="eastAsia" w:ascii="宋体" w:hAnsi="宋体" w:eastAsia="宋体" w:cs="宋体"/>
          <w:b/>
          <w:bCs w:val="0"/>
          <w:color w:val="auto"/>
          <w:kern w:val="0"/>
          <w:sz w:val="28"/>
          <w:szCs w:val="28"/>
        </w:rPr>
      </w:pPr>
      <w:r>
        <w:rPr>
          <w:rFonts w:hint="eastAsia" w:ascii="仿宋" w:hAnsi="仿宋" w:eastAsia="仿宋" w:cs="仿宋"/>
          <w:spacing w:val="-3"/>
          <w:sz w:val="32"/>
          <w:szCs w:val="32"/>
          <w:lang w:val="en-US" w:eastAsia="zh-CN"/>
        </w:rPr>
        <w:t>中标人：</w:t>
      </w:r>
      <w:r>
        <w:rPr>
          <w:rFonts w:hint="eastAsia" w:ascii="仿宋" w:hAnsi="仿宋" w:eastAsia="仿宋" w:cs="仿宋"/>
          <w:spacing w:val="-3"/>
          <w:sz w:val="32"/>
          <w:szCs w:val="32"/>
          <w:u w:val="single"/>
          <w:lang w:val="en-US" w:eastAsia="zh-CN"/>
        </w:rPr>
        <w:t xml:space="preserve">                    </w:t>
      </w:r>
      <w:r>
        <w:rPr>
          <w:rFonts w:hint="eastAsia" w:ascii="宋体" w:hAnsi="宋体" w:eastAsia="宋体" w:cs="宋体"/>
          <w:b/>
          <w:bCs w:val="0"/>
          <w:color w:val="auto"/>
          <w:kern w:val="0"/>
          <w:sz w:val="28"/>
          <w:szCs w:val="28"/>
        </w:rPr>
        <w:br w:type="page"/>
      </w:r>
    </w:p>
    <w:p w14:paraId="314C552C">
      <w:pPr>
        <w:pStyle w:val="2"/>
        <w:numPr>
          <w:ilvl w:val="1"/>
          <w:numId w:val="0"/>
        </w:numPr>
        <w:jc w:val="center"/>
        <w:rPr>
          <w:rFonts w:hint="eastAsia" w:ascii="宋体" w:hAnsi="宋体" w:eastAsia="宋体" w:cs="宋体"/>
          <w:b/>
          <w:bCs w:val="0"/>
          <w:color w:val="auto"/>
          <w:kern w:val="0"/>
          <w:sz w:val="28"/>
          <w:szCs w:val="28"/>
        </w:rPr>
      </w:pPr>
      <w:r>
        <w:rPr>
          <w:rFonts w:hint="eastAsia" w:ascii="宋体" w:hAnsi="宋体" w:eastAsia="宋体" w:cs="宋体"/>
          <w:b/>
          <w:bCs w:val="0"/>
          <w:color w:val="auto"/>
          <w:kern w:val="0"/>
          <w:sz w:val="28"/>
          <w:szCs w:val="28"/>
        </w:rPr>
        <w:t>一、</w:t>
      </w:r>
      <w:r>
        <w:rPr>
          <w:rFonts w:hint="eastAsia" w:ascii="宋体" w:hAnsi="宋体" w:eastAsia="宋体" w:cs="宋体"/>
          <w:b/>
          <w:bCs w:val="0"/>
          <w:color w:val="auto"/>
          <w:kern w:val="0"/>
          <w:sz w:val="28"/>
          <w:szCs w:val="28"/>
          <w:lang w:val="en-US" w:eastAsia="zh-CN"/>
        </w:rPr>
        <w:t>通用</w:t>
      </w:r>
      <w:r>
        <w:rPr>
          <w:rFonts w:hint="eastAsia" w:ascii="宋体" w:hAnsi="宋体" w:eastAsia="宋体" w:cs="宋体"/>
          <w:b/>
          <w:bCs w:val="0"/>
          <w:color w:val="auto"/>
          <w:kern w:val="0"/>
          <w:sz w:val="28"/>
          <w:szCs w:val="28"/>
        </w:rPr>
        <w:t>条款</w:t>
      </w:r>
    </w:p>
    <w:p w14:paraId="56D30552">
      <w:pPr>
        <w:spacing w:line="44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1、定义</w:t>
      </w:r>
    </w:p>
    <w:p w14:paraId="6ABB8801">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本合同中的下列术语解释为：</w:t>
      </w:r>
    </w:p>
    <w:p w14:paraId="738DFC3F">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（1）“合同”系指买卖双方签署的、合同格式载明的买卖双方所达成的协议，包括所有的附件和构成合同的所有文件。</w:t>
      </w:r>
    </w:p>
    <w:p w14:paraId="2F2810E9">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（2）“合同价”系指根据合同规定，卖方在完全履行合同义务后买方应支付给卖方的价格。</w:t>
      </w:r>
    </w:p>
    <w:p w14:paraId="65ACF2CB">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（3）“货物”系卖方根据合同规定须向买方提供的设备、备件、工具、手册、技术资料及相关材料。</w:t>
      </w:r>
    </w:p>
    <w:p w14:paraId="7396C038">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（4）“服务”系指根据合同规定卖方承担与供货有关的辅助服务，如安装、调试、技术服务和其他类似的义务。</w:t>
      </w:r>
    </w:p>
    <w:p w14:paraId="486CDD12">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（5）“安装调试”系指卖方根据合同规定向买方提供的、为使货物正常运行的安装、调试等。</w:t>
      </w:r>
    </w:p>
    <w:p w14:paraId="62662E67">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（6）“买方”系指用户单位。</w:t>
      </w:r>
    </w:p>
    <w:p w14:paraId="74B7E37D">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（7）“卖方”系指本次招标活动的中标人（包括制造商和供应商）。</w:t>
      </w:r>
    </w:p>
    <w:p w14:paraId="71505F4B">
      <w:pPr>
        <w:spacing w:line="44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2、标的及数量</w:t>
      </w:r>
    </w:p>
    <w:p w14:paraId="3A911BDF">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本合同标的物及数量见本招标文件。</w:t>
      </w:r>
    </w:p>
    <w:p w14:paraId="15CEF894">
      <w:pPr>
        <w:spacing w:line="44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3、技术规格</w:t>
      </w:r>
    </w:p>
    <w:p w14:paraId="22C62468">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（1）卖方提供和交付的货物技术规格，应与招标文件规定的技术规格及投标文件的投标规范偏离表相一致。</w:t>
      </w:r>
    </w:p>
    <w:p w14:paraId="3B868F9D">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（2）技术规格中未有规定的，以国家有关部门现行有效的标准和规范性文件为准。</w:t>
      </w:r>
    </w:p>
    <w:p w14:paraId="08F6925F">
      <w:pPr>
        <w:spacing w:line="44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4、知识产权</w:t>
      </w:r>
    </w:p>
    <w:p w14:paraId="1473139B">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卖方应保证买方在使用该货物或其任何一部分时不受第三方提出侵犯其专利权、商标权和工业设计权的起诉。如果任何第三方提出侵权指控或赔偿要求，卖方必须与第三方交涉，并承担发生和可能发生的一切损失、费用和法律责任。</w:t>
      </w:r>
    </w:p>
    <w:p w14:paraId="544EBC8C">
      <w:pPr>
        <w:keepNext w:val="0"/>
        <w:keepLines w:val="0"/>
        <w:pageBreakBefore w:val="0"/>
        <w:widowControl w:val="0"/>
        <w:kinsoku/>
        <w:wordWrap/>
        <w:overflowPunct/>
        <w:topLinePunct w:val="0"/>
        <w:autoSpaceDE/>
        <w:autoSpaceDN/>
        <w:bidi w:val="0"/>
        <w:adjustRightInd/>
        <w:snapToGrid/>
        <w:spacing w:line="600" w:lineRule="exact"/>
        <w:ind w:firstLine="480" w:firstLineChars="200"/>
        <w:jc w:val="both"/>
        <w:textAlignment w:val="auto"/>
        <w:outlineLvl w:val="9"/>
        <w:rPr>
          <w:rFonts w:hint="eastAsia" w:ascii="仿宋" w:hAnsi="仿宋" w:eastAsia="仿宋" w:cs="仿宋"/>
          <w:spacing w:val="-3"/>
          <w:sz w:val="28"/>
          <w:szCs w:val="28"/>
          <w:lang w:val="en-US" w:eastAsia="zh-CN"/>
        </w:rPr>
      </w:pPr>
      <w:r>
        <w:rPr>
          <w:rFonts w:hint="eastAsia" w:ascii="宋体" w:hAnsi="宋体" w:eastAsia="宋体" w:cs="宋体"/>
          <w:color w:val="auto"/>
          <w:sz w:val="24"/>
          <w:szCs w:val="24"/>
          <w:lang w:val="en-US" w:eastAsia="zh-CN"/>
        </w:rPr>
        <w:t>本项目产生的所有软件成果、设计文件、技术资料及相关知识产权，自产生之日起全部归买方所有。卖方应在项目验收合格后10日内，向买方交付全部完整的技术资料，并确保交付的资料与正式上线运行的版本完全一致。卖方不得以任何形式保留或授权第三方使用上述成果。</w:t>
      </w:r>
    </w:p>
    <w:p w14:paraId="519778D0">
      <w:pPr>
        <w:spacing w:line="440" w:lineRule="exact"/>
        <w:ind w:firstLine="480" w:firstLineChars="200"/>
        <w:rPr>
          <w:rFonts w:hint="eastAsia" w:ascii="宋体" w:hAnsi="宋体" w:eastAsia="宋体" w:cs="宋体"/>
          <w:color w:val="auto"/>
          <w:sz w:val="24"/>
          <w:szCs w:val="24"/>
        </w:rPr>
      </w:pPr>
    </w:p>
    <w:p w14:paraId="63F8CD5D">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en-US" w:bidi="ar-SA"/>
        </w:rPr>
        <w:t>5、</w:t>
      </w:r>
      <w:r>
        <w:rPr>
          <w:rFonts w:hint="eastAsia" w:ascii="宋体" w:hAnsi="宋体" w:eastAsia="宋体" w:cs="宋体"/>
          <w:b/>
          <w:color w:val="auto"/>
          <w:sz w:val="24"/>
          <w:szCs w:val="24"/>
        </w:rPr>
        <w:t>包装要求</w:t>
      </w:r>
    </w:p>
    <w:p w14:paraId="592D405F">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除合同另有规定外，卖方供应的全部货物均应按标准保护措施进行包装。该包装应适应于远距离运输、防潮、防震、防锈和防野蛮装卸，确保货物安全无损运抵指定现场。由于包装不善所引起的货物锈蚀、损坏和损失均由卖方承担。</w:t>
      </w:r>
    </w:p>
    <w:p w14:paraId="58F8CFCD">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（2）每件包装箱内应附一份详细箱单和质量合格证。</w:t>
      </w:r>
    </w:p>
    <w:p w14:paraId="38F2D698">
      <w:pPr>
        <w:spacing w:line="44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6、装运条件</w:t>
      </w:r>
    </w:p>
    <w:p w14:paraId="6BF163A6">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（1）卖方负责安排运输，运输费卖方承担。</w:t>
      </w:r>
    </w:p>
    <w:p w14:paraId="25F69C22">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（2）卖方应按招标文件的规定将货物运抵现场并负责货物的装卸与保管。</w:t>
      </w:r>
    </w:p>
    <w:p w14:paraId="143A3E6B">
      <w:pPr>
        <w:spacing w:line="44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7、质量保证</w:t>
      </w:r>
    </w:p>
    <w:p w14:paraId="4794F14F">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（1）卖方应保证货物是全新、完全符合合同规定的质量、规格和性能的要求。卖方对所提供的货物在正确安装、正常使用和保养的条件下，在使用期限内具有满意的性能负责。</w:t>
      </w:r>
    </w:p>
    <w:p w14:paraId="6E73870B">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（2）在产品的使用期限内，对因设计、工艺、材料的缺陷而导致的任何事故、故障、潜在危险等卖方应负全部责任。</w:t>
      </w:r>
    </w:p>
    <w:p w14:paraId="254C12E7">
      <w:pPr>
        <w:spacing w:line="44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8、付款方式</w:t>
      </w:r>
    </w:p>
    <w:p w14:paraId="4E88689C">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（1）合同以人民币付款；</w:t>
      </w:r>
    </w:p>
    <w:p w14:paraId="31FEA8F2">
      <w:pPr>
        <w:pStyle w:val="4"/>
        <w:spacing w:line="500" w:lineRule="atLeast"/>
        <w:ind w:firstLine="480" w:firstLineChars="200"/>
        <w:rPr>
          <w:rFonts w:hint="eastAsia" w:ascii="宋体" w:hAnsi="宋体" w:eastAsia="宋体" w:cs="宋体"/>
          <w:color w:val="auto"/>
          <w:kern w:val="1"/>
          <w:sz w:val="24"/>
          <w:szCs w:val="24"/>
        </w:rPr>
      </w:pPr>
      <w:r>
        <w:rPr>
          <w:rFonts w:hint="eastAsia" w:ascii="宋体" w:hAnsi="宋体" w:eastAsia="宋体" w:cs="宋体"/>
          <w:color w:val="auto"/>
          <w:sz w:val="24"/>
          <w:szCs w:val="24"/>
        </w:rPr>
        <w:t>（2）付款方式：合同签字盖章生效后，甲方按如下方式支付合同款项。乙方在付款条件达成后发起付款申请；甲方核实无误后，</w:t>
      </w:r>
      <w:r>
        <w:rPr>
          <w:rFonts w:hint="eastAsia" w:ascii="宋体" w:hAnsi="宋体" w:eastAsia="宋体" w:cs="宋体"/>
          <w:color w:val="auto"/>
          <w:sz w:val="24"/>
          <w:szCs w:val="24"/>
          <w:lang w:val="en-US" w:eastAsia="zh-CN"/>
        </w:rPr>
        <w:t>收到</w:t>
      </w:r>
      <w:r>
        <w:rPr>
          <w:rFonts w:hint="eastAsia" w:ascii="宋体" w:hAnsi="宋体" w:eastAsia="宋体" w:cs="宋体"/>
          <w:color w:val="auto"/>
          <w:sz w:val="24"/>
          <w:szCs w:val="24"/>
        </w:rPr>
        <w:t>乙方开具相应金额</w:t>
      </w:r>
      <w:r>
        <w:rPr>
          <w:rFonts w:hint="eastAsia" w:hAnsi="宋体" w:eastAsia="宋体" w:cs="宋体"/>
          <w:color w:val="auto"/>
          <w:sz w:val="24"/>
          <w:szCs w:val="24"/>
          <w:lang w:eastAsia="zh-CN"/>
        </w:rPr>
        <w:t>及其</w:t>
      </w:r>
      <w:r>
        <w:rPr>
          <w:rFonts w:hint="eastAsia" w:ascii="宋体" w:hAnsi="宋体" w:eastAsia="宋体" w:cs="宋体"/>
          <w:color w:val="auto"/>
          <w:sz w:val="24"/>
          <w:szCs w:val="24"/>
        </w:rPr>
        <w:t>增值税专用发票</w:t>
      </w:r>
      <w:r>
        <w:rPr>
          <w:rFonts w:hint="eastAsia" w:ascii="宋体" w:hAnsi="宋体" w:eastAsia="宋体" w:cs="宋体"/>
          <w:color w:val="auto"/>
          <w:sz w:val="24"/>
          <w:szCs w:val="24"/>
          <w:lang w:val="en-US" w:eastAsia="zh-CN"/>
        </w:rPr>
        <w:t>后支付</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因乙方原因导致付款延期不视为甲方违约。</w:t>
      </w:r>
    </w:p>
    <w:p w14:paraId="131BFA97">
      <w:pPr>
        <w:pStyle w:val="4"/>
        <w:spacing w:line="500" w:lineRule="atLeast"/>
        <w:ind w:firstLine="480" w:firstLineChars="200"/>
        <w:rPr>
          <w:rFonts w:hint="eastAsia" w:ascii="宋体" w:hAnsi="宋体" w:eastAsia="宋体" w:cs="宋体"/>
          <w:color w:val="auto"/>
          <w:sz w:val="24"/>
          <w:szCs w:val="24"/>
        </w:rPr>
      </w:pPr>
      <w:r>
        <w:rPr>
          <w:rFonts w:hint="eastAsia" w:hAnsi="宋体" w:eastAsia="宋体" w:cs="宋体"/>
          <w:color w:val="auto"/>
          <w:kern w:val="1"/>
          <w:sz w:val="24"/>
          <w:szCs w:val="24"/>
          <w:lang w:eastAsia="zh-CN"/>
        </w:rPr>
        <w:t>合同</w:t>
      </w:r>
      <w:r>
        <w:rPr>
          <w:rFonts w:hint="eastAsia" w:hAnsi="宋体" w:eastAsia="宋体" w:cs="宋体"/>
          <w:color w:val="auto"/>
          <w:kern w:val="1"/>
          <w:sz w:val="24"/>
          <w:szCs w:val="24"/>
          <w:lang w:val="en-US" w:eastAsia="zh-CN"/>
        </w:rPr>
        <w:t>签订后30</w:t>
      </w:r>
      <w:r>
        <w:rPr>
          <w:rFonts w:hint="eastAsia" w:hAnsi="宋体" w:eastAsia="宋体" w:cs="宋体"/>
          <w:color w:val="auto"/>
          <w:kern w:val="1"/>
          <w:sz w:val="24"/>
          <w:szCs w:val="24"/>
          <w:lang w:eastAsia="zh-CN"/>
        </w:rPr>
        <w:t>天内，甲方向乙方支付</w:t>
      </w:r>
      <w:r>
        <w:rPr>
          <w:rFonts w:hint="eastAsia" w:hAnsi="宋体" w:eastAsia="宋体" w:cs="宋体"/>
          <w:color w:val="auto"/>
          <w:kern w:val="1"/>
          <w:sz w:val="24"/>
          <w:szCs w:val="24"/>
          <w:lang w:val="en-US" w:eastAsia="zh-CN"/>
        </w:rPr>
        <w:t>40</w:t>
      </w:r>
      <w:r>
        <w:rPr>
          <w:rFonts w:hint="eastAsia" w:hAnsi="宋体" w:eastAsia="宋体" w:cs="宋体"/>
          <w:color w:val="auto"/>
          <w:kern w:val="1"/>
          <w:sz w:val="24"/>
          <w:szCs w:val="24"/>
          <w:lang w:eastAsia="zh-CN"/>
        </w:rPr>
        <w:t>%</w:t>
      </w:r>
      <w:r>
        <w:rPr>
          <w:rFonts w:hint="eastAsia" w:hAnsi="宋体" w:eastAsia="宋体" w:cs="宋体"/>
          <w:color w:val="auto"/>
          <w:kern w:val="1"/>
          <w:sz w:val="24"/>
          <w:szCs w:val="24"/>
          <w:lang w:val="en-US" w:eastAsia="zh-CN"/>
        </w:rPr>
        <w:t>的</w:t>
      </w:r>
      <w:r>
        <w:rPr>
          <w:rFonts w:hint="eastAsia" w:hAnsi="宋体" w:eastAsia="宋体" w:cs="宋体"/>
          <w:color w:val="auto"/>
          <w:kern w:val="1"/>
          <w:sz w:val="24"/>
          <w:szCs w:val="24"/>
          <w:lang w:eastAsia="zh-CN"/>
        </w:rPr>
        <w:t>合同</w:t>
      </w:r>
      <w:r>
        <w:rPr>
          <w:rFonts w:hint="eastAsia" w:hAnsi="宋体" w:eastAsia="宋体" w:cs="宋体"/>
          <w:color w:val="auto"/>
          <w:kern w:val="1"/>
          <w:sz w:val="24"/>
          <w:szCs w:val="24"/>
          <w:lang w:val="en-US" w:eastAsia="zh-CN"/>
        </w:rPr>
        <w:t>款</w:t>
      </w:r>
      <w:r>
        <w:rPr>
          <w:rFonts w:hint="eastAsia" w:hAnsi="宋体" w:eastAsia="宋体" w:cs="宋体"/>
          <w:color w:val="auto"/>
          <w:kern w:val="1"/>
          <w:sz w:val="24"/>
          <w:szCs w:val="24"/>
          <w:lang w:eastAsia="zh-CN"/>
        </w:rPr>
        <w:t>作为预付款</w:t>
      </w:r>
      <w:r>
        <w:rPr>
          <w:rFonts w:hint="eastAsia" w:ascii="宋体" w:hAnsi="宋体" w:eastAsia="宋体" w:cs="宋体"/>
          <w:color w:val="auto"/>
          <w:kern w:val="1"/>
          <w:sz w:val="24"/>
          <w:szCs w:val="24"/>
        </w:rPr>
        <w:t>，用于硬件设备采购及安装服务;在甲方验收合格向乙方签发书面验收合格单后30天内，向乙方支付</w:t>
      </w:r>
      <w:r>
        <w:rPr>
          <w:rFonts w:hint="eastAsia" w:hAnsi="宋体" w:eastAsia="宋体" w:cs="宋体"/>
          <w:color w:val="auto"/>
          <w:kern w:val="1"/>
          <w:sz w:val="24"/>
          <w:szCs w:val="24"/>
          <w:highlight w:val="none"/>
          <w:lang w:val="en-US" w:eastAsia="zh-CN"/>
        </w:rPr>
        <w:t>60</w:t>
      </w:r>
      <w:r>
        <w:rPr>
          <w:rFonts w:hint="eastAsia" w:ascii="宋体" w:hAnsi="宋体" w:eastAsia="宋体" w:cs="宋体"/>
          <w:color w:val="auto"/>
          <w:kern w:val="1"/>
          <w:sz w:val="24"/>
          <w:szCs w:val="24"/>
        </w:rPr>
        <w:t>%</w:t>
      </w:r>
      <w:r>
        <w:rPr>
          <w:rFonts w:hint="eastAsia" w:hAnsi="宋体" w:eastAsia="宋体" w:cs="宋体"/>
          <w:color w:val="auto"/>
          <w:kern w:val="1"/>
          <w:sz w:val="24"/>
          <w:szCs w:val="24"/>
          <w:lang w:val="en-US" w:eastAsia="zh-CN"/>
        </w:rPr>
        <w:t>的</w:t>
      </w:r>
      <w:r>
        <w:rPr>
          <w:rFonts w:hint="eastAsia" w:ascii="宋体" w:hAnsi="宋体" w:eastAsia="宋体" w:cs="宋体"/>
          <w:color w:val="auto"/>
          <w:kern w:val="1"/>
          <w:sz w:val="24"/>
          <w:szCs w:val="24"/>
        </w:rPr>
        <w:t>合同</w:t>
      </w:r>
      <w:r>
        <w:rPr>
          <w:rFonts w:hint="eastAsia" w:hAnsi="宋体" w:eastAsia="宋体" w:cs="宋体"/>
          <w:color w:val="auto"/>
          <w:kern w:val="1"/>
          <w:sz w:val="24"/>
          <w:szCs w:val="24"/>
          <w:lang w:val="en-US" w:eastAsia="zh-CN"/>
        </w:rPr>
        <w:t>款</w:t>
      </w:r>
      <w:r>
        <w:rPr>
          <w:rFonts w:hint="eastAsia" w:ascii="宋体" w:hAnsi="宋体" w:eastAsia="宋体" w:cs="宋体"/>
          <w:color w:val="auto"/>
          <w:kern w:val="1"/>
          <w:sz w:val="24"/>
          <w:szCs w:val="24"/>
        </w:rPr>
        <w:t>。</w:t>
      </w:r>
    </w:p>
    <w:p w14:paraId="7F361632">
      <w:pPr>
        <w:spacing w:line="440" w:lineRule="exact"/>
        <w:rPr>
          <w:rFonts w:hint="eastAsia" w:ascii="宋体" w:hAnsi="宋体" w:eastAsia="宋体" w:cs="宋体"/>
          <w:b/>
          <w:color w:val="auto"/>
          <w:sz w:val="24"/>
          <w:szCs w:val="24"/>
        </w:rPr>
      </w:pPr>
      <w:r>
        <w:rPr>
          <w:rFonts w:hint="eastAsia" w:ascii="宋体" w:hAnsi="宋体" w:eastAsia="宋体" w:cs="宋体"/>
          <w:b/>
          <w:color w:val="auto"/>
          <w:sz w:val="24"/>
          <w:szCs w:val="24"/>
        </w:rPr>
        <w:t>9、履行期限、地点、方式</w:t>
      </w:r>
    </w:p>
    <w:p w14:paraId="496EE729">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（1）履行期限：合同签订后1</w:t>
      </w:r>
      <w:r>
        <w:rPr>
          <w:rFonts w:hint="eastAsia" w:ascii="宋体" w:hAnsi="宋体" w:eastAsia="宋体" w:cs="宋体"/>
          <w:color w:val="auto"/>
          <w:sz w:val="24"/>
          <w:szCs w:val="24"/>
          <w:lang w:val="en-US" w:eastAsia="zh-CN"/>
        </w:rPr>
        <w:t>20天内</w:t>
      </w:r>
      <w:r>
        <w:rPr>
          <w:rFonts w:hint="eastAsia" w:ascii="宋体" w:hAnsi="宋体" w:eastAsia="宋体" w:cs="宋体"/>
          <w:color w:val="auto"/>
          <w:sz w:val="24"/>
          <w:szCs w:val="24"/>
        </w:rPr>
        <w:t>完成本项目所有内容。</w:t>
      </w:r>
    </w:p>
    <w:p w14:paraId="0775D185">
      <w:pPr>
        <w:spacing w:line="440" w:lineRule="exact"/>
        <w:ind w:firstLine="480" w:firstLineChars="200"/>
        <w:rPr>
          <w:rFonts w:hint="eastAsia" w:ascii="宋体" w:hAnsi="宋体" w:eastAsia="宋体" w:cs="宋体"/>
          <w:color w:val="FF0000"/>
          <w:sz w:val="24"/>
          <w:szCs w:val="24"/>
        </w:rPr>
      </w:pPr>
      <w:r>
        <w:rPr>
          <w:rFonts w:hint="eastAsia" w:ascii="宋体" w:hAnsi="宋体" w:eastAsia="宋体" w:cs="宋体"/>
          <w:color w:val="auto"/>
          <w:sz w:val="24"/>
          <w:szCs w:val="24"/>
        </w:rPr>
        <w:t>（2）履行地点：</w:t>
      </w:r>
      <w:r>
        <w:rPr>
          <w:rFonts w:hint="eastAsia" w:ascii="宋体" w:hAnsi="宋体" w:eastAsia="宋体" w:cs="宋体"/>
          <w:color w:val="auto"/>
          <w:sz w:val="24"/>
          <w:szCs w:val="24"/>
          <w:lang w:val="en-US" w:eastAsia="zh-CN"/>
        </w:rPr>
        <w:t>陕西省档案馆（采购人指定地点）</w:t>
      </w:r>
      <w:r>
        <w:rPr>
          <w:rFonts w:hint="eastAsia" w:ascii="宋体" w:hAnsi="宋体" w:eastAsia="宋体" w:cs="宋体"/>
          <w:color w:val="auto"/>
          <w:sz w:val="24"/>
          <w:szCs w:val="24"/>
        </w:rPr>
        <w:t>。</w:t>
      </w:r>
    </w:p>
    <w:p w14:paraId="4100B569">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（3）履行方式：买方为卖方完成工作提供必要的条件，其余工作由卖方自行完成。</w:t>
      </w:r>
    </w:p>
    <w:p w14:paraId="3BE4E723">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（4）买方按照合同规定的付款进度向卖方支付款项。</w:t>
      </w:r>
    </w:p>
    <w:p w14:paraId="0B32A319">
      <w:pPr>
        <w:spacing w:line="44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10、检验</w:t>
      </w:r>
    </w:p>
    <w:p w14:paraId="72A929D9">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（1）在交货前，卖方应对货物的质量、规格、性能、数量和重量等进行准确而全面的检验。</w:t>
      </w:r>
    </w:p>
    <w:p w14:paraId="4231EE31">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如果货物的质量和规格与合同不符，或在规定的质量保证期内证实货物具有缺陷的，包括潜在缺陷或使用不符合要求的材料，买方应报请本地技术监督部门或有关部门进行检验，并有权凭上述部门出具的质检证书向卖方提出索赔。</w:t>
      </w:r>
    </w:p>
    <w:p w14:paraId="63C758EF">
      <w:pPr>
        <w:spacing w:line="44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11、索赔</w:t>
      </w:r>
    </w:p>
    <w:p w14:paraId="06772B50">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（1）买方有权根据本地技术监督部门或有关部门出具的质检证书向卖方提出索赔，但责任应由保险公司或运输部门承担的除外。</w:t>
      </w:r>
    </w:p>
    <w:p w14:paraId="2DF9E3E6">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（2）在合同规定的检验期和质量保证期内，如果卖方对买方提出的索赔负有责任，卖方应按照买方同意的下列两种方式解决索赔事宜。</w:t>
      </w:r>
    </w:p>
    <w:p w14:paraId="23BDE688">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①卖方同意退货，并用合同中规定的同种货币将货款退还给买方，并承担由此发生的一切损失和费用，包括利息、银行手续费、运费、保险费、检验费、仓储费、装卸费以及为保护拒收货物产生的其他必要费用。</w:t>
      </w:r>
    </w:p>
    <w:p w14:paraId="7E808189">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②用符合规定要求的新零件、部件或设备来更换有缺陷的部分，卖方应承担一切风险并负担买方所遭受的全部直接损失费用。</w:t>
      </w:r>
    </w:p>
    <w:p w14:paraId="00F6CE8C">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如果在买方发出索赔通知后20天内，卖方未作答复，上述索赔应视为已被卖方接受。如卖方未能在买方提出索赔20天内或买方同意的延长时间内，按照本款第（2）条规定的任何一种方式解决索赔事宜，买方将从卖方</w:t>
      </w:r>
      <w:r>
        <w:rPr>
          <w:rFonts w:hint="eastAsia" w:ascii="宋体" w:hAnsi="宋体" w:eastAsia="宋体" w:cs="宋体"/>
          <w:color w:val="auto"/>
          <w:sz w:val="24"/>
          <w:szCs w:val="24"/>
          <w:highlight w:val="none"/>
        </w:rPr>
        <w:t>履约保证金</w:t>
      </w:r>
      <w:r>
        <w:rPr>
          <w:rFonts w:hint="eastAsia" w:ascii="宋体" w:hAnsi="宋体" w:eastAsia="宋体" w:cs="宋体"/>
          <w:color w:val="auto"/>
          <w:sz w:val="24"/>
          <w:szCs w:val="24"/>
        </w:rPr>
        <w:t>中扣回索赔金额。</w:t>
      </w:r>
    </w:p>
    <w:p w14:paraId="4B0625DC">
      <w:pPr>
        <w:spacing w:line="44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12、违约责任</w:t>
      </w:r>
    </w:p>
    <w:p w14:paraId="4BE02D7B">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（1）如果卖方没有按照合同规定或买方同意延长的时间交货，买方可以在履约保证金中扣除违约赔偿金，赔偿费按迟交货物的计价金额每迟延一周0.5%计收。但违约赔偿费的最高限额为迟交货物计价金额的</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%。一周按7天计算，不足7天按一周计算。如果卖方在达到最高限额后仍不能交付的，买方可考虑终止合同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并要求卖方承担合同总金额的20%作为违约金，并退还已支付的费用</w:t>
      </w:r>
      <w:r>
        <w:rPr>
          <w:rFonts w:hint="eastAsia" w:ascii="宋体" w:hAnsi="宋体" w:eastAsia="宋体" w:cs="宋体"/>
          <w:color w:val="auto"/>
          <w:sz w:val="24"/>
          <w:szCs w:val="24"/>
        </w:rPr>
        <w:t>。</w:t>
      </w:r>
    </w:p>
    <w:p w14:paraId="349AA5CE">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（2）买方不能及时支付款项的，卖方可以要求买方比照本款第（1）条规定的方式承担违约责任。</w:t>
      </w:r>
    </w:p>
    <w:p w14:paraId="14162BF9">
      <w:pPr>
        <w:spacing w:line="44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卖方</w:t>
      </w:r>
      <w:r>
        <w:rPr>
          <w:rFonts w:hint="eastAsia" w:ascii="宋体" w:hAnsi="宋体" w:eastAsia="宋体" w:cs="宋体"/>
          <w:color w:val="auto"/>
          <w:sz w:val="24"/>
          <w:szCs w:val="24"/>
          <w:lang w:eastAsia="zh-CN"/>
        </w:rPr>
        <w:t>未按</w:t>
      </w:r>
      <w:r>
        <w:rPr>
          <w:rFonts w:hint="eastAsia" w:ascii="宋体" w:hAnsi="宋体" w:eastAsia="宋体" w:cs="宋体"/>
          <w:color w:val="auto"/>
          <w:sz w:val="24"/>
          <w:szCs w:val="24"/>
          <w:lang w:val="en-US" w:eastAsia="zh-CN"/>
        </w:rPr>
        <w:t>合同</w:t>
      </w:r>
      <w:r>
        <w:rPr>
          <w:rFonts w:hint="eastAsia" w:ascii="宋体" w:hAnsi="宋体" w:eastAsia="宋体" w:cs="宋体"/>
          <w:color w:val="auto"/>
          <w:sz w:val="24"/>
          <w:szCs w:val="24"/>
          <w:lang w:eastAsia="zh-CN"/>
        </w:rPr>
        <w:t>约定履行义务或未达到</w:t>
      </w:r>
      <w:r>
        <w:rPr>
          <w:rFonts w:hint="eastAsia" w:ascii="宋体" w:hAnsi="宋体" w:eastAsia="宋体" w:cs="宋体"/>
          <w:color w:val="auto"/>
          <w:sz w:val="24"/>
          <w:szCs w:val="24"/>
          <w:lang w:val="en-US" w:eastAsia="zh-CN"/>
        </w:rPr>
        <w:t>合同约定或买方</w:t>
      </w:r>
      <w:r>
        <w:rPr>
          <w:rFonts w:hint="eastAsia" w:ascii="宋体" w:hAnsi="宋体" w:eastAsia="宋体" w:cs="宋体"/>
          <w:color w:val="auto"/>
          <w:sz w:val="24"/>
          <w:szCs w:val="24"/>
          <w:lang w:eastAsia="zh-CN"/>
        </w:rPr>
        <w:t>要求的，</w:t>
      </w:r>
      <w:r>
        <w:rPr>
          <w:rFonts w:hint="eastAsia" w:ascii="宋体" w:hAnsi="宋体" w:eastAsia="宋体" w:cs="宋体"/>
          <w:color w:val="auto"/>
          <w:sz w:val="24"/>
          <w:szCs w:val="24"/>
          <w:lang w:val="en-US" w:eastAsia="zh-CN"/>
        </w:rPr>
        <w:t>卖方</w:t>
      </w:r>
      <w:r>
        <w:rPr>
          <w:rFonts w:hint="eastAsia" w:ascii="宋体" w:hAnsi="宋体" w:eastAsia="宋体" w:cs="宋体"/>
          <w:color w:val="auto"/>
          <w:sz w:val="24"/>
          <w:szCs w:val="24"/>
          <w:lang w:eastAsia="zh-CN"/>
        </w:rPr>
        <w:t>应当在收到</w:t>
      </w:r>
      <w:r>
        <w:rPr>
          <w:rFonts w:hint="eastAsia" w:ascii="宋体" w:hAnsi="宋体" w:eastAsia="宋体" w:cs="宋体"/>
          <w:color w:val="auto"/>
          <w:sz w:val="24"/>
          <w:szCs w:val="24"/>
          <w:lang w:val="en-US" w:eastAsia="zh-CN"/>
        </w:rPr>
        <w:t>买方</w:t>
      </w:r>
      <w:r>
        <w:rPr>
          <w:rFonts w:hint="eastAsia" w:ascii="宋体" w:hAnsi="宋体" w:eastAsia="宋体" w:cs="宋体"/>
          <w:color w:val="auto"/>
          <w:sz w:val="24"/>
          <w:szCs w:val="24"/>
          <w:lang w:eastAsia="zh-CN"/>
        </w:rPr>
        <w:t>意见后</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日内进行返工、修改，并重新提交</w:t>
      </w:r>
      <w:r>
        <w:rPr>
          <w:rFonts w:hint="eastAsia" w:ascii="宋体" w:hAnsi="宋体" w:eastAsia="宋体" w:cs="宋体"/>
          <w:color w:val="auto"/>
          <w:sz w:val="24"/>
          <w:szCs w:val="24"/>
          <w:lang w:val="en-US" w:eastAsia="zh-CN"/>
        </w:rPr>
        <w:t>买方</w:t>
      </w:r>
      <w:r>
        <w:rPr>
          <w:rFonts w:hint="eastAsia" w:ascii="宋体" w:hAnsi="宋体" w:eastAsia="宋体" w:cs="宋体"/>
          <w:color w:val="auto"/>
          <w:sz w:val="24"/>
          <w:szCs w:val="24"/>
          <w:lang w:eastAsia="zh-CN"/>
        </w:rPr>
        <w:t>审核，直至通过</w:t>
      </w:r>
      <w:r>
        <w:rPr>
          <w:rFonts w:hint="eastAsia" w:ascii="宋体" w:hAnsi="宋体" w:eastAsia="宋体" w:cs="宋体"/>
          <w:color w:val="auto"/>
          <w:sz w:val="24"/>
          <w:szCs w:val="24"/>
          <w:lang w:val="en-US" w:eastAsia="zh-CN"/>
        </w:rPr>
        <w:t>买方</w:t>
      </w:r>
      <w:r>
        <w:rPr>
          <w:rFonts w:hint="eastAsia" w:ascii="宋体" w:hAnsi="宋体" w:eastAsia="宋体" w:cs="宋体"/>
          <w:color w:val="auto"/>
          <w:sz w:val="24"/>
          <w:szCs w:val="24"/>
          <w:lang w:eastAsia="zh-CN"/>
        </w:rPr>
        <w:t>验收。</w:t>
      </w:r>
      <w:r>
        <w:rPr>
          <w:rFonts w:hint="eastAsia" w:ascii="宋体" w:hAnsi="宋体" w:eastAsia="宋体" w:cs="宋体"/>
          <w:color w:val="auto"/>
          <w:sz w:val="24"/>
          <w:szCs w:val="24"/>
          <w:lang w:val="en-US" w:eastAsia="zh-CN"/>
        </w:rPr>
        <w:t>若</w:t>
      </w:r>
      <w:r>
        <w:rPr>
          <w:rFonts w:hint="eastAsia" w:ascii="宋体" w:hAnsi="宋体" w:eastAsia="宋体" w:cs="宋体"/>
          <w:color w:val="auto"/>
          <w:sz w:val="24"/>
          <w:szCs w:val="24"/>
          <w:lang w:eastAsia="zh-CN"/>
        </w:rPr>
        <w:t>仍未通过验收</w:t>
      </w:r>
      <w:r>
        <w:rPr>
          <w:rFonts w:hint="eastAsia" w:ascii="宋体" w:hAnsi="宋体" w:eastAsia="宋体" w:cs="宋体"/>
          <w:color w:val="auto"/>
          <w:sz w:val="24"/>
          <w:szCs w:val="24"/>
          <w:lang w:val="en-US" w:eastAsia="zh-CN"/>
        </w:rPr>
        <w:t>或</w:t>
      </w:r>
      <w:r>
        <w:rPr>
          <w:rFonts w:hint="eastAsia" w:ascii="宋体" w:hAnsi="宋体" w:eastAsia="宋体" w:cs="宋体"/>
          <w:color w:val="auto"/>
          <w:sz w:val="24"/>
          <w:szCs w:val="24"/>
          <w:lang w:eastAsia="zh-CN"/>
        </w:rPr>
        <w:t>拒绝按照</w:t>
      </w:r>
      <w:r>
        <w:rPr>
          <w:rFonts w:hint="eastAsia" w:ascii="宋体" w:hAnsi="宋体" w:eastAsia="宋体" w:cs="宋体"/>
          <w:color w:val="auto"/>
          <w:sz w:val="24"/>
          <w:szCs w:val="24"/>
          <w:lang w:val="en-US" w:eastAsia="zh-CN"/>
        </w:rPr>
        <w:t>买方</w:t>
      </w:r>
      <w:r>
        <w:rPr>
          <w:rFonts w:hint="eastAsia" w:ascii="宋体" w:hAnsi="宋体" w:eastAsia="宋体" w:cs="宋体"/>
          <w:color w:val="auto"/>
          <w:sz w:val="24"/>
          <w:szCs w:val="24"/>
          <w:lang w:eastAsia="zh-CN"/>
        </w:rPr>
        <w:t>要求进行返工、修改的，</w:t>
      </w:r>
      <w:r>
        <w:rPr>
          <w:rFonts w:hint="eastAsia" w:ascii="宋体" w:hAnsi="宋体" w:eastAsia="宋体" w:cs="宋体"/>
          <w:color w:val="auto"/>
          <w:sz w:val="24"/>
          <w:szCs w:val="24"/>
          <w:lang w:val="en-US" w:eastAsia="zh-CN"/>
        </w:rPr>
        <w:t>买方</w:t>
      </w:r>
      <w:r>
        <w:rPr>
          <w:rFonts w:hint="eastAsia" w:ascii="宋体" w:hAnsi="宋体" w:eastAsia="宋体" w:cs="宋体"/>
          <w:color w:val="auto"/>
          <w:sz w:val="24"/>
          <w:szCs w:val="24"/>
          <w:lang w:eastAsia="zh-CN"/>
        </w:rPr>
        <w:t>有权解除本合同，</w:t>
      </w:r>
      <w:r>
        <w:rPr>
          <w:rFonts w:hint="eastAsia" w:ascii="宋体" w:hAnsi="宋体" w:eastAsia="宋体" w:cs="宋体"/>
          <w:color w:val="auto"/>
          <w:sz w:val="24"/>
          <w:szCs w:val="24"/>
          <w:lang w:val="en-US" w:eastAsia="zh-CN"/>
        </w:rPr>
        <w:t>卖方</w:t>
      </w:r>
      <w:r>
        <w:rPr>
          <w:rFonts w:hint="eastAsia" w:ascii="宋体" w:hAnsi="宋体" w:eastAsia="宋体" w:cs="宋体"/>
          <w:color w:val="auto"/>
          <w:sz w:val="24"/>
          <w:szCs w:val="24"/>
          <w:lang w:eastAsia="zh-CN"/>
        </w:rPr>
        <w:t>应返还已经支付的全部</w:t>
      </w:r>
      <w:r>
        <w:rPr>
          <w:rFonts w:hint="eastAsia" w:ascii="宋体" w:hAnsi="宋体" w:eastAsia="宋体" w:cs="宋体"/>
          <w:color w:val="auto"/>
          <w:sz w:val="24"/>
          <w:szCs w:val="24"/>
          <w:lang w:val="en-US" w:eastAsia="zh-CN"/>
        </w:rPr>
        <w:t>费用</w:t>
      </w:r>
      <w:r>
        <w:rPr>
          <w:rFonts w:hint="eastAsia" w:ascii="宋体" w:hAnsi="宋体" w:eastAsia="宋体" w:cs="宋体"/>
          <w:color w:val="auto"/>
          <w:sz w:val="24"/>
          <w:szCs w:val="24"/>
          <w:lang w:eastAsia="zh-CN"/>
        </w:rPr>
        <w:t>，并向</w:t>
      </w:r>
      <w:r>
        <w:rPr>
          <w:rFonts w:hint="eastAsia" w:ascii="宋体" w:hAnsi="宋体" w:eastAsia="宋体" w:cs="宋体"/>
          <w:color w:val="auto"/>
          <w:sz w:val="24"/>
          <w:szCs w:val="24"/>
          <w:lang w:val="en-US" w:eastAsia="zh-CN"/>
        </w:rPr>
        <w:t>买方</w:t>
      </w:r>
      <w:r>
        <w:rPr>
          <w:rFonts w:hint="eastAsia" w:ascii="宋体" w:hAnsi="宋体" w:eastAsia="宋体" w:cs="宋体"/>
          <w:color w:val="auto"/>
          <w:sz w:val="24"/>
          <w:szCs w:val="24"/>
          <w:lang w:eastAsia="zh-CN"/>
        </w:rPr>
        <w:t>支付合同总</w:t>
      </w:r>
      <w:r>
        <w:rPr>
          <w:rFonts w:hint="eastAsia" w:ascii="宋体" w:hAnsi="宋体" w:eastAsia="宋体" w:cs="宋体"/>
          <w:color w:val="auto"/>
          <w:sz w:val="24"/>
          <w:szCs w:val="24"/>
          <w:lang w:val="en-US" w:eastAsia="zh-CN"/>
        </w:rPr>
        <w:t>金</w:t>
      </w:r>
      <w:r>
        <w:rPr>
          <w:rFonts w:hint="eastAsia" w:ascii="宋体" w:hAnsi="宋体" w:eastAsia="宋体" w:cs="宋体"/>
          <w:color w:val="auto"/>
          <w:sz w:val="24"/>
          <w:szCs w:val="24"/>
          <w:lang w:eastAsia="zh-CN"/>
        </w:rPr>
        <w:t>额20%</w:t>
      </w:r>
      <w:r>
        <w:rPr>
          <w:rFonts w:hint="eastAsia" w:ascii="宋体" w:hAnsi="宋体" w:eastAsia="宋体" w:cs="宋体"/>
          <w:color w:val="auto"/>
          <w:sz w:val="24"/>
          <w:szCs w:val="24"/>
          <w:lang w:val="en-US" w:eastAsia="zh-CN"/>
        </w:rPr>
        <w:t>作为</w:t>
      </w:r>
      <w:r>
        <w:rPr>
          <w:rFonts w:hint="eastAsia" w:ascii="宋体" w:hAnsi="宋体" w:eastAsia="宋体" w:cs="宋体"/>
          <w:color w:val="auto"/>
          <w:sz w:val="24"/>
          <w:szCs w:val="24"/>
          <w:lang w:eastAsia="zh-CN"/>
        </w:rPr>
        <w:t>违约金，违约金不足以弥补</w:t>
      </w:r>
      <w:r>
        <w:rPr>
          <w:rFonts w:hint="eastAsia" w:ascii="宋体" w:hAnsi="宋体" w:eastAsia="宋体" w:cs="宋体"/>
          <w:color w:val="auto"/>
          <w:sz w:val="24"/>
          <w:szCs w:val="24"/>
          <w:lang w:val="en-US" w:eastAsia="zh-CN"/>
        </w:rPr>
        <w:t>买方</w:t>
      </w:r>
      <w:r>
        <w:rPr>
          <w:rFonts w:hint="eastAsia" w:ascii="宋体" w:hAnsi="宋体" w:eastAsia="宋体" w:cs="宋体"/>
          <w:color w:val="auto"/>
          <w:sz w:val="24"/>
          <w:szCs w:val="24"/>
          <w:lang w:eastAsia="zh-CN"/>
        </w:rPr>
        <w:t>全部损失的，</w:t>
      </w:r>
      <w:r>
        <w:rPr>
          <w:rFonts w:hint="eastAsia" w:ascii="宋体" w:hAnsi="宋体" w:eastAsia="宋体" w:cs="宋体"/>
          <w:color w:val="auto"/>
          <w:sz w:val="24"/>
          <w:szCs w:val="24"/>
          <w:lang w:val="en-US" w:eastAsia="zh-CN"/>
        </w:rPr>
        <w:t>卖方</w:t>
      </w:r>
      <w:r>
        <w:rPr>
          <w:rFonts w:hint="eastAsia" w:ascii="宋体" w:hAnsi="宋体" w:eastAsia="宋体" w:cs="宋体"/>
          <w:color w:val="auto"/>
          <w:sz w:val="24"/>
          <w:szCs w:val="24"/>
          <w:lang w:eastAsia="zh-CN"/>
        </w:rPr>
        <w:t>应承担全部赔偿责任。</w:t>
      </w:r>
    </w:p>
    <w:p w14:paraId="3A66B302">
      <w:pPr>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如果因卖方提供的产品质量或服务问题给买方运行正常的硬件、软件或其他财产造成损坏的，卖方应负责对其修复及更换，确保买方的正常使用，导致买方损失或损害第三人人身或财产权利的，卖方应承担全部法律责任和全额赔偿。</w:t>
      </w:r>
    </w:p>
    <w:p w14:paraId="55A69CA5">
      <w:pPr>
        <w:spacing w:line="44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（5）本合同所指买方损失是指买方因调查卖方的违约行为、采取补救措施而支出的所有费用，包括但不限于违约金、赔偿金、诉讼费、保全费、鉴定费、律师费等费用。</w:t>
      </w:r>
    </w:p>
    <w:p w14:paraId="71CC3FC0">
      <w:pPr>
        <w:spacing w:line="44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13、不可抗拒力</w:t>
      </w:r>
    </w:p>
    <w:p w14:paraId="42AEADA3">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（1）如果双方由于不可抗拒力的任何事故（须经双方认同），致使影响合同履行时，履行合同的期限应予延长，延长的期限相当于事故影响的时间。</w:t>
      </w:r>
    </w:p>
    <w:p w14:paraId="0D10C164">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（2）本条件所述的“不可抗拒力”系指双方无法控制、不可预见的事件。这些事件包括但不限于：战争、严重水灾、台风、地震以及其他双方商定的事件。</w:t>
      </w:r>
    </w:p>
    <w:p w14:paraId="3D07962E">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受事故影响的一方应在不可抗拒力事故发生后尽快以传真、电报通知对方，并在事故发生后14天内，将有关部门出具体的证明文件通知对方。如果不可抗拒力影响延续到120天以上时，双方应通过友好协商在合理的时间内达成进一步履行合同的协议。</w:t>
      </w:r>
    </w:p>
    <w:p w14:paraId="2412FB34">
      <w:pPr>
        <w:spacing w:line="44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14、违约终止合同</w:t>
      </w:r>
    </w:p>
    <w:p w14:paraId="6DA7E977">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买方在卖方有以下违约的情况下，买方可向卖方发出书面通知，终止部分或全部合同，并要求卖方按照第12条（1）款承担违约责任：</w:t>
      </w:r>
    </w:p>
    <w:p w14:paraId="3080AD19">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（1）卖方未能在合同规定的限期或买方同意延长的限期内提供全部或部分货物；</w:t>
      </w:r>
    </w:p>
    <w:p w14:paraId="6B0FC502">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（2）如果卖方未能履行合同规定的其它义务，卖方在收到买方发出的违约通知后7天内，或经买方书面认可延长的时间内未能纠正其过错。</w:t>
      </w:r>
    </w:p>
    <w:p w14:paraId="2B2AEC29">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（3）买方在根据上述情况终止全部或部分合同，可以依其认为适当的条件和方法购买与卖方未交货物相同或类似的货物，卖方应对买方购买该货物所超出的费用负责。如果合同有未终止的部分，卖方仍应履行。</w:t>
      </w:r>
    </w:p>
    <w:p w14:paraId="4A30B0B1">
      <w:pPr>
        <w:spacing w:line="44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15、转让</w:t>
      </w:r>
    </w:p>
    <w:p w14:paraId="1D42A55E">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除买方事先书面同意外，卖方不得部分或全部转让其应履行的合同义务。</w:t>
      </w:r>
    </w:p>
    <w:p w14:paraId="414F64D4">
      <w:pPr>
        <w:spacing w:line="44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16、合同纠纷的解决</w:t>
      </w:r>
    </w:p>
    <w:p w14:paraId="773A4B09">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履行合同时发生的纠纷，双方应在公平、诚实信用、协商一致的原则指导下解决。仍不能达成一致意见的，可向</w:t>
      </w:r>
      <w:r>
        <w:rPr>
          <w:rFonts w:hint="eastAsia" w:ascii="宋体" w:hAnsi="宋体" w:eastAsia="宋体" w:cs="宋体"/>
          <w:color w:val="auto"/>
          <w:sz w:val="24"/>
          <w:szCs w:val="24"/>
          <w:lang w:val="en-US" w:eastAsia="zh-CN"/>
        </w:rPr>
        <w:t>买方所在地</w:t>
      </w:r>
      <w:r>
        <w:rPr>
          <w:rFonts w:hint="eastAsia" w:ascii="宋体" w:hAnsi="宋体" w:eastAsia="宋体" w:cs="宋体"/>
          <w:color w:val="auto"/>
          <w:sz w:val="24"/>
          <w:szCs w:val="24"/>
        </w:rPr>
        <w:t>人民法院提起诉讼。</w:t>
      </w:r>
    </w:p>
    <w:p w14:paraId="0B720777">
      <w:pPr>
        <w:spacing w:line="44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17、合同生效及其他</w:t>
      </w:r>
    </w:p>
    <w:p w14:paraId="221EBE8D">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（1）合同一经双方签字并加盖公章即为生效。</w:t>
      </w:r>
    </w:p>
    <w:p w14:paraId="3FCBDA43">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（2）本合同一式叁份，以中文书写。买方、卖方、采购代理机构各执壹份，具有同等法律效力。</w:t>
      </w:r>
    </w:p>
    <w:p w14:paraId="5368424D">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（3）本合同未尽事宜，以招标文件为准。</w:t>
      </w:r>
    </w:p>
    <w:p w14:paraId="558974E2">
      <w:pPr>
        <w:spacing w:line="44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18、合同变更</w:t>
      </w:r>
    </w:p>
    <w:p w14:paraId="1965746C">
      <w:pPr>
        <w:spacing w:line="44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合同生效以后，任何一方当事人不得擅自对其条款进行更改。对合同的变更必须由双方当事人协商一致，并须签订书面的修改协议。</w:t>
      </w:r>
    </w:p>
    <w:p w14:paraId="1DC59A85">
      <w:pPr>
        <w:spacing w:line="440" w:lineRule="exact"/>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19、适用法律</w:t>
      </w:r>
    </w:p>
    <w:p w14:paraId="359BB62D">
      <w:pPr>
        <w:spacing w:line="440" w:lineRule="exact"/>
        <w:ind w:firstLine="480" w:firstLineChars="200"/>
        <w:rPr>
          <w:rFonts w:hint="eastAsia" w:ascii="宋体" w:hAnsi="宋体" w:eastAsia="宋体" w:cs="宋体"/>
          <w:color w:val="auto"/>
          <w:sz w:val="24"/>
          <w:szCs w:val="24"/>
        </w:rPr>
      </w:pPr>
      <w:bookmarkStart w:id="0" w:name="_Toc6736"/>
      <w:r>
        <w:rPr>
          <w:rFonts w:hint="eastAsia" w:ascii="宋体" w:hAnsi="宋体" w:eastAsia="宋体" w:cs="宋体"/>
          <w:color w:val="auto"/>
          <w:sz w:val="24"/>
          <w:szCs w:val="24"/>
        </w:rPr>
        <w:t>合同按照现行的《中华人民共和国</w:t>
      </w:r>
      <w:r>
        <w:rPr>
          <w:rFonts w:hint="eastAsia" w:ascii="宋体" w:hAnsi="宋体" w:eastAsia="宋体" w:cs="宋体"/>
          <w:color w:val="auto"/>
          <w:sz w:val="24"/>
          <w:szCs w:val="24"/>
          <w:lang w:val="en-US" w:eastAsia="zh-CN"/>
        </w:rPr>
        <w:t>民法典</w:t>
      </w:r>
      <w:r>
        <w:rPr>
          <w:rFonts w:hint="eastAsia" w:ascii="宋体" w:hAnsi="宋体" w:eastAsia="宋体" w:cs="宋体"/>
          <w:color w:val="auto"/>
          <w:sz w:val="24"/>
          <w:szCs w:val="24"/>
        </w:rPr>
        <w:t>》进行解释。</w:t>
      </w:r>
    </w:p>
    <w:p w14:paraId="615E424C">
      <w:pPr>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br w:type="page"/>
      </w:r>
      <w:bookmarkStart w:id="1" w:name="_Toc11854"/>
      <w:bookmarkStart w:id="2" w:name="_Toc1134"/>
      <w:bookmarkStart w:id="3" w:name="_Toc18464"/>
      <w:r>
        <w:rPr>
          <w:rFonts w:hint="eastAsia" w:ascii="宋体" w:hAnsi="宋体" w:eastAsia="宋体"/>
          <w:b/>
          <w:bCs w:val="0"/>
          <w:color w:val="auto"/>
          <w:kern w:val="0"/>
          <w:sz w:val="28"/>
          <w:szCs w:val="28"/>
        </w:rPr>
        <w:t>二、</w:t>
      </w:r>
      <w:bookmarkEnd w:id="0"/>
      <w:bookmarkEnd w:id="1"/>
      <w:bookmarkEnd w:id="2"/>
      <w:bookmarkEnd w:id="3"/>
      <w:r>
        <w:rPr>
          <w:rFonts w:hint="eastAsia" w:ascii="宋体" w:hAnsi="宋体" w:eastAsia="宋体"/>
          <w:b/>
          <w:bCs w:val="0"/>
          <w:color w:val="auto"/>
          <w:kern w:val="0"/>
          <w:sz w:val="28"/>
          <w:szCs w:val="28"/>
          <w:lang w:val="en-US" w:eastAsia="zh-CN"/>
        </w:rPr>
        <w:t>专用条款</w:t>
      </w:r>
    </w:p>
    <w:p w14:paraId="41A5409B">
      <w:pPr>
        <w:pStyle w:val="4"/>
        <w:spacing w:line="460" w:lineRule="exact"/>
        <w:ind w:left="0" w:leftChars="0" w:firstLine="0" w:firstLineChars="0"/>
        <w:rPr>
          <w:rFonts w:hint="eastAsia" w:ascii="宋体" w:hAnsi="宋体" w:eastAsia="宋体" w:cs="宋体"/>
          <w:b/>
          <w:color w:val="auto"/>
          <w:sz w:val="24"/>
          <w:szCs w:val="24"/>
        </w:rPr>
      </w:pPr>
      <w:r>
        <w:rPr>
          <w:rFonts w:hint="eastAsia" w:ascii="宋体" w:hAnsi="宋体" w:eastAsia="宋体" w:cs="宋体"/>
          <w:b/>
          <w:color w:val="auto"/>
          <w:sz w:val="24"/>
          <w:szCs w:val="24"/>
        </w:rPr>
        <w:t>甲方（采购人）：</w:t>
      </w:r>
    </w:p>
    <w:p w14:paraId="2A51D751">
      <w:pPr>
        <w:pStyle w:val="4"/>
        <w:spacing w:line="460" w:lineRule="exact"/>
        <w:ind w:left="0" w:leftChars="0" w:firstLine="0" w:firstLineChars="0"/>
        <w:rPr>
          <w:rFonts w:hint="eastAsia" w:ascii="宋体" w:hAnsi="宋体" w:eastAsia="宋体" w:cs="宋体"/>
          <w:b/>
          <w:color w:val="auto"/>
          <w:sz w:val="24"/>
          <w:szCs w:val="24"/>
        </w:rPr>
      </w:pPr>
      <w:r>
        <w:rPr>
          <w:rFonts w:hint="eastAsia" w:ascii="宋体" w:hAnsi="宋体" w:eastAsia="宋体" w:cs="宋体"/>
          <w:b/>
          <w:color w:val="auto"/>
          <w:sz w:val="24"/>
          <w:szCs w:val="24"/>
        </w:rPr>
        <w:t>乙方（中标人）：</w:t>
      </w:r>
    </w:p>
    <w:p w14:paraId="0F406ADF">
      <w:pPr>
        <w:spacing w:line="440" w:lineRule="exact"/>
        <w:ind w:left="360" w:firstLine="240" w:firstLineChars="100"/>
        <w:jc w:val="left"/>
        <w:rPr>
          <w:rFonts w:hint="eastAsia" w:ascii="宋体" w:hAnsi="宋体" w:eastAsia="宋体" w:cs="宋体"/>
          <w:bCs/>
          <w:color w:val="auto"/>
          <w:sz w:val="24"/>
          <w:szCs w:val="24"/>
        </w:rPr>
      </w:pPr>
      <w:bookmarkStart w:id="4" w:name="_Toc6980"/>
      <w:bookmarkStart w:id="5" w:name="_Toc445715224"/>
      <w:bookmarkStart w:id="6" w:name="_Toc31943"/>
      <w:r>
        <w:rPr>
          <w:rFonts w:hint="eastAsia" w:ascii="宋体" w:hAnsi="宋体" w:eastAsia="宋体" w:cs="宋体"/>
          <w:bCs/>
          <w:color w:val="auto"/>
          <w:sz w:val="24"/>
          <w:szCs w:val="24"/>
        </w:rPr>
        <w:tab/>
      </w:r>
      <w:r>
        <w:rPr>
          <w:rFonts w:hint="eastAsia" w:ascii="宋体" w:hAnsi="宋体" w:eastAsia="宋体" w:cs="宋体"/>
          <w:bCs/>
          <w:color w:val="auto"/>
          <w:sz w:val="24"/>
          <w:szCs w:val="24"/>
        </w:rPr>
        <w:t>甲、乙</w:t>
      </w:r>
      <w:r>
        <w:rPr>
          <w:rFonts w:hint="eastAsia" w:ascii="宋体" w:hAnsi="宋体" w:eastAsia="宋体" w:cs="宋体"/>
          <w:bCs/>
          <w:color w:val="auto"/>
          <w:sz w:val="24"/>
          <w:szCs w:val="24"/>
          <w:lang w:val="en-US" w:eastAsia="zh-CN"/>
        </w:rPr>
        <w:t>双</w:t>
      </w:r>
      <w:r>
        <w:rPr>
          <w:rFonts w:hint="eastAsia" w:ascii="宋体" w:hAnsi="宋体" w:eastAsia="宋体" w:cs="宋体"/>
          <w:bCs/>
          <w:color w:val="auto"/>
          <w:sz w:val="24"/>
          <w:szCs w:val="24"/>
        </w:rPr>
        <w:t>方根据2026年    月   日上午   点   分（北京时间）进行的“XXX项目、招标编号：XXX-XXX”公开招标采购评审结果，依据《中华人民共和国政府采购法》、《中华人民共和国民法典》等相关法律、法规的规定，本着诚实信用，平等互利的原则，签订本合同。</w:t>
      </w:r>
    </w:p>
    <w:p w14:paraId="75CDCA79">
      <w:pPr>
        <w:pStyle w:val="4"/>
        <w:spacing w:line="440" w:lineRule="exact"/>
        <w:ind w:left="0"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一、合同文件：</w:t>
      </w:r>
    </w:p>
    <w:p w14:paraId="2980FF0E">
      <w:pPr>
        <w:spacing w:line="440" w:lineRule="exact"/>
        <w:ind w:firstLine="360" w:firstLineChars="150"/>
        <w:rPr>
          <w:rFonts w:hint="eastAsia" w:ascii="宋体" w:hAnsi="宋体" w:eastAsia="宋体" w:cs="宋体"/>
          <w:bCs/>
          <w:color w:val="auto"/>
          <w:sz w:val="24"/>
          <w:szCs w:val="24"/>
        </w:rPr>
      </w:pPr>
      <w:r>
        <w:rPr>
          <w:rFonts w:hint="eastAsia" w:ascii="宋体" w:hAnsi="宋体" w:eastAsia="宋体" w:cs="宋体"/>
          <w:bCs/>
          <w:color w:val="auto"/>
          <w:sz w:val="24"/>
          <w:szCs w:val="24"/>
        </w:rPr>
        <w:t>《</w:t>
      </w:r>
      <w:r>
        <w:rPr>
          <w:rFonts w:hint="eastAsia" w:ascii="宋体" w:hAnsi="宋体" w:eastAsia="宋体" w:cs="宋体"/>
          <w:bCs/>
          <w:color w:val="auto"/>
          <w:sz w:val="24"/>
          <w:szCs w:val="24"/>
          <w:lang w:val="en-US" w:eastAsia="zh-CN"/>
        </w:rPr>
        <w:t>中标</w:t>
      </w:r>
      <w:r>
        <w:rPr>
          <w:rFonts w:hint="eastAsia" w:ascii="宋体" w:hAnsi="宋体" w:eastAsia="宋体" w:cs="宋体"/>
          <w:bCs/>
          <w:color w:val="auto"/>
          <w:sz w:val="24"/>
          <w:szCs w:val="24"/>
        </w:rPr>
        <w:t>通知书》及下列招投标书中的文件是构成本合同不可分割的部分：</w:t>
      </w:r>
    </w:p>
    <w:p w14:paraId="52B6B1F6">
      <w:pPr>
        <w:spacing w:line="440" w:lineRule="exact"/>
        <w:ind w:left="360" w:firstLine="240" w:firstLineChars="1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1.合同条款；2.采购需求；3.投标报价表。</w:t>
      </w:r>
    </w:p>
    <w:p w14:paraId="61A3C870">
      <w:pPr>
        <w:spacing w:line="440" w:lineRule="exact"/>
        <w:ind w:left="0" w:leftChars="0" w:firstLine="0" w:firstLineChars="0"/>
        <w:rPr>
          <w:rFonts w:hint="eastAsia" w:ascii="宋体" w:hAnsi="宋体" w:eastAsia="宋体" w:cs="宋体"/>
          <w:bCs/>
          <w:color w:val="auto"/>
          <w:sz w:val="24"/>
          <w:szCs w:val="24"/>
        </w:rPr>
      </w:pPr>
      <w:r>
        <w:rPr>
          <w:rFonts w:hint="eastAsia" w:ascii="宋体" w:hAnsi="宋体" w:eastAsia="宋体" w:cs="宋体"/>
          <w:b/>
          <w:bCs/>
          <w:color w:val="auto"/>
          <w:sz w:val="24"/>
          <w:szCs w:val="24"/>
        </w:rPr>
        <w:t>二、中标商品清单</w:t>
      </w:r>
      <w:r>
        <w:rPr>
          <w:rFonts w:hint="eastAsia" w:ascii="宋体" w:hAnsi="宋体" w:eastAsia="宋体" w:cs="宋体"/>
          <w:bCs/>
          <w:color w:val="auto"/>
          <w:sz w:val="24"/>
          <w:szCs w:val="24"/>
        </w:rPr>
        <w:t>（详见附件）</w:t>
      </w:r>
    </w:p>
    <w:p w14:paraId="30F26880">
      <w:pPr>
        <w:spacing w:line="440" w:lineRule="exact"/>
        <w:ind w:left="0" w:leftChars="0" w:firstLine="0" w:firstLineChars="0"/>
        <w:rPr>
          <w:rFonts w:hint="eastAsia" w:ascii="宋体" w:hAnsi="宋体" w:eastAsia="宋体" w:cs="宋体"/>
          <w:bCs/>
          <w:color w:val="auto"/>
          <w:sz w:val="24"/>
          <w:szCs w:val="24"/>
        </w:rPr>
      </w:pPr>
      <w:r>
        <w:rPr>
          <w:rFonts w:hint="eastAsia" w:ascii="宋体" w:hAnsi="宋体" w:eastAsia="宋体" w:cs="宋体"/>
          <w:b/>
          <w:bCs/>
          <w:color w:val="auto"/>
          <w:sz w:val="24"/>
          <w:szCs w:val="24"/>
        </w:rPr>
        <w:t>三、合同金额</w:t>
      </w:r>
      <w:r>
        <w:rPr>
          <w:rFonts w:hint="eastAsia" w:ascii="宋体" w:hAnsi="宋体" w:eastAsia="宋体" w:cs="宋体"/>
          <w:bCs/>
          <w:color w:val="auto"/>
          <w:sz w:val="24"/>
          <w:szCs w:val="24"/>
        </w:rPr>
        <w:t>（即</w:t>
      </w:r>
      <w:r>
        <w:rPr>
          <w:rFonts w:hint="eastAsia" w:ascii="宋体" w:hAnsi="宋体" w:eastAsia="宋体" w:cs="宋体"/>
          <w:bCs/>
          <w:color w:val="auto"/>
          <w:sz w:val="24"/>
          <w:szCs w:val="24"/>
          <w:lang w:val="en-US" w:eastAsia="zh-CN"/>
        </w:rPr>
        <w:t>中标</w:t>
      </w:r>
      <w:r>
        <w:rPr>
          <w:rFonts w:hint="eastAsia" w:ascii="宋体" w:hAnsi="宋体" w:eastAsia="宋体" w:cs="宋体"/>
          <w:bCs/>
          <w:color w:val="auto"/>
          <w:sz w:val="24"/>
          <w:szCs w:val="24"/>
        </w:rPr>
        <w:t>金额）</w:t>
      </w:r>
    </w:p>
    <w:p w14:paraId="20EEB9A1">
      <w:pPr>
        <w:spacing w:line="440" w:lineRule="exact"/>
        <w:ind w:left="360" w:firstLine="240" w:firstLineChars="1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小写(人民币):</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元，大写(人民币):</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元整</w:t>
      </w:r>
    </w:p>
    <w:p w14:paraId="7B9C9A3F">
      <w:pPr>
        <w:widowControl/>
        <w:numPr>
          <w:ilvl w:val="0"/>
          <w:numId w:val="0"/>
        </w:numPr>
        <w:spacing w:line="440" w:lineRule="exact"/>
        <w:ind w:left="0" w:leftChars="0" w:firstLine="0" w:firstLineChars="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lang w:val="en-US" w:eastAsia="en-US" w:bidi="ar-SA"/>
        </w:rPr>
        <w:t>四、</w:t>
      </w:r>
      <w:r>
        <w:rPr>
          <w:rFonts w:hint="eastAsia" w:ascii="宋体" w:hAnsi="宋体" w:eastAsia="宋体" w:cs="宋体"/>
          <w:b/>
          <w:color w:val="auto"/>
          <w:kern w:val="0"/>
          <w:sz w:val="24"/>
          <w:szCs w:val="24"/>
        </w:rPr>
        <w:t>乙方售出的货物</w:t>
      </w:r>
    </w:p>
    <w:p w14:paraId="406F5C39">
      <w:pPr>
        <w:keepNext w:val="0"/>
        <w:keepLines w:val="0"/>
        <w:pageBreakBefore w:val="0"/>
        <w:widowControl/>
        <w:numPr>
          <w:ilvl w:val="0"/>
          <w:numId w:val="0"/>
        </w:numPr>
        <w:kinsoku/>
        <w:wordWrap/>
        <w:overflowPunct/>
        <w:topLinePunct w:val="0"/>
        <w:autoSpaceDE/>
        <w:autoSpaceDN/>
        <w:bidi w:val="0"/>
        <w:adjustRightInd w:val="0"/>
        <w:snapToGrid w:val="0"/>
        <w:spacing w:line="440" w:lineRule="exact"/>
        <w:ind w:left="0" w:leftChars="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必须附有合法齐全手续以及标准配置、工具、装箱单、合格证和一套完整的中文技术资料，包括操作手册、使用说明书、维修保养手册、电路图等。</w:t>
      </w:r>
    </w:p>
    <w:p w14:paraId="0101D255">
      <w:pPr>
        <w:widowControl/>
        <w:spacing w:line="440" w:lineRule="exact"/>
        <w:ind w:left="0" w:leftChars="0" w:firstLine="0" w:firstLineChars="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五、商品质量要求及供方对质量保证条件和期限</w:t>
      </w:r>
    </w:p>
    <w:p w14:paraId="39B15A2F">
      <w:pPr>
        <w:widowControl/>
        <w:spacing w:line="440" w:lineRule="exact"/>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乙方所提供的货物应是全新的和未使用过的，并符合国家有关制造标准和环保要求。乙方按国家及生产厂家提供的质保期和质保内容提供质保（技术及商务条款中对质保期有要求的应从其要求）。质保期内乙方免费维护；非人为因素而出现的质量问题，由乙方负责包换或者退货，并承担其费用。</w:t>
      </w:r>
    </w:p>
    <w:p w14:paraId="62D05534">
      <w:pPr>
        <w:widowControl/>
        <w:spacing w:line="440" w:lineRule="exact"/>
        <w:ind w:left="0" w:leftChars="0" w:firstLine="0" w:firstLineChars="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六、售后服务</w:t>
      </w:r>
    </w:p>
    <w:p w14:paraId="7882CF3A">
      <w:pPr>
        <w:pStyle w:val="5"/>
        <w:snapToGrid w:val="0"/>
        <w:spacing w:line="440" w:lineRule="exact"/>
        <w:ind w:left="0" w:leftChars="0" w:firstLine="240" w:firstLineChars="1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1、质量保证期：</w:t>
      </w:r>
      <w:r>
        <w:rPr>
          <w:rFonts w:hint="eastAsia" w:ascii="宋体" w:hAnsi="宋体" w:eastAsia="宋体" w:cs="宋体"/>
          <w:color w:val="auto"/>
          <w:kern w:val="0"/>
          <w:sz w:val="24"/>
          <w:szCs w:val="24"/>
          <w:lang w:eastAsia="zh-CN"/>
        </w:rPr>
        <w:t>本项目质保期为</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lang w:eastAsia="zh-CN"/>
        </w:rPr>
        <w:t>年，自甲方签发《验收合格通知书》之日起算</w:t>
      </w:r>
      <w:r>
        <w:rPr>
          <w:rFonts w:hint="eastAsia" w:ascii="宋体" w:hAnsi="宋体" w:eastAsia="宋体" w:cs="宋体"/>
          <w:color w:val="auto"/>
          <w:kern w:val="0"/>
          <w:sz w:val="24"/>
          <w:szCs w:val="24"/>
        </w:rPr>
        <w:t>。</w:t>
      </w:r>
    </w:p>
    <w:p w14:paraId="14E6642A">
      <w:pPr>
        <w:spacing w:line="440" w:lineRule="exact"/>
        <w:ind w:left="0" w:leftChars="0" w:firstLine="240" w:firstLineChars="1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质保期内，乙方负责免费对货物进行保修、更换。保修范围为乙方提供的所有产品及相关配件，保修方式为无偿保修及更换。因甲方使用不当或其他责任原因造成货物问题，由甲方承担维修及更换的相关费用。</w:t>
      </w:r>
    </w:p>
    <w:p w14:paraId="7C5D29F7">
      <w:pPr>
        <w:pStyle w:val="5"/>
        <w:keepNext w:val="0"/>
        <w:keepLines w:val="0"/>
        <w:pageBreakBefore w:val="0"/>
        <w:widowControl w:val="0"/>
        <w:kinsoku/>
        <w:wordWrap/>
        <w:overflowPunct/>
        <w:topLinePunct w:val="0"/>
        <w:autoSpaceDE/>
        <w:autoSpaceDN/>
        <w:bidi w:val="0"/>
        <w:adjustRightInd w:val="0"/>
        <w:snapToGrid w:val="0"/>
        <w:spacing w:line="440" w:lineRule="exact"/>
        <w:ind w:left="0" w:leftChars="0" w:firstLine="240" w:firstLineChars="1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3、中标人应按招标文件规定的货物性能、质量标准向业主提供未经使用的全新设备。</w:t>
      </w:r>
    </w:p>
    <w:p w14:paraId="7C0C8143">
      <w:pPr>
        <w:pStyle w:val="5"/>
        <w:keepNext w:val="0"/>
        <w:keepLines w:val="0"/>
        <w:pageBreakBefore w:val="0"/>
        <w:widowControl w:val="0"/>
        <w:kinsoku/>
        <w:wordWrap/>
        <w:overflowPunct/>
        <w:topLinePunct w:val="0"/>
        <w:autoSpaceDE/>
        <w:autoSpaceDN/>
        <w:bidi w:val="0"/>
        <w:adjustRightInd w:val="0"/>
        <w:snapToGrid w:val="0"/>
        <w:spacing w:line="440" w:lineRule="exact"/>
        <w:ind w:left="0" w:leftChars="0" w:firstLine="240" w:firstLineChars="100"/>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4、货物在质保期内如发生质量问题，乙方应在12小时内采取补救措施，否则甲方有权自行采取补救措施，发生的一切直接费用由乙方负责承担。</w:t>
      </w:r>
    </w:p>
    <w:p w14:paraId="77DA6FCE">
      <w:pPr>
        <w:pStyle w:val="5"/>
        <w:snapToGrid w:val="0"/>
        <w:spacing w:line="440" w:lineRule="exact"/>
        <w:ind w:left="0" w:leftChars="0" w:firstLine="240" w:firstLineChars="100"/>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5、乙方负责对产品提供终身维修，并提供常年的技术支持及零配件和替代品的供应。</w:t>
      </w:r>
    </w:p>
    <w:p w14:paraId="53F8F419">
      <w:pPr>
        <w:pStyle w:val="5"/>
        <w:snapToGrid w:val="0"/>
        <w:spacing w:line="440" w:lineRule="exact"/>
        <w:ind w:left="0" w:leftChars="0" w:firstLine="240" w:firstLineChars="100"/>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6、乙方应提供有效的维修联系人和维修联系电话，如有变更，乙方应及时、主动通知甲方。</w:t>
      </w:r>
    </w:p>
    <w:p w14:paraId="694E71CD">
      <w:pPr>
        <w:widowControl/>
        <w:spacing w:line="440" w:lineRule="exact"/>
        <w:ind w:left="0" w:leftChars="0" w:firstLine="0" w:firstLineChars="0"/>
        <w:rPr>
          <w:rFonts w:hint="eastAsia" w:ascii="宋体" w:hAnsi="宋体" w:eastAsia="宋体" w:cs="宋体"/>
          <w:color w:val="auto"/>
          <w:kern w:val="0"/>
          <w:sz w:val="24"/>
          <w:szCs w:val="24"/>
        </w:rPr>
      </w:pPr>
      <w:r>
        <w:rPr>
          <w:rFonts w:hint="eastAsia" w:ascii="宋体" w:hAnsi="宋体" w:eastAsia="宋体" w:cs="宋体"/>
          <w:b/>
          <w:color w:val="auto"/>
          <w:kern w:val="0"/>
          <w:sz w:val="24"/>
          <w:szCs w:val="24"/>
        </w:rPr>
        <w:t>七、交付期</w:t>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highlight w:val="none"/>
        </w:rPr>
        <w:t>合同签订后1</w:t>
      </w:r>
      <w:r>
        <w:rPr>
          <w:rFonts w:hint="eastAsia" w:ascii="宋体" w:hAnsi="宋体" w:eastAsia="宋体" w:cs="宋体"/>
          <w:color w:val="auto"/>
          <w:kern w:val="0"/>
          <w:sz w:val="24"/>
          <w:szCs w:val="24"/>
          <w:highlight w:val="none"/>
          <w:lang w:val="en-US" w:eastAsia="zh-CN"/>
        </w:rPr>
        <w:t>20天内完成本项目所有内容</w:t>
      </w:r>
      <w:r>
        <w:rPr>
          <w:rFonts w:hint="eastAsia" w:ascii="宋体" w:hAnsi="宋体" w:eastAsia="宋体" w:cs="宋体"/>
          <w:color w:val="auto"/>
          <w:kern w:val="0"/>
          <w:sz w:val="24"/>
          <w:szCs w:val="24"/>
          <w:highlight w:val="none"/>
        </w:rPr>
        <w:t>。</w:t>
      </w:r>
    </w:p>
    <w:p w14:paraId="73A367DE">
      <w:pPr>
        <w:spacing w:line="440" w:lineRule="exact"/>
        <w:ind w:left="0" w:leftChars="0" w:firstLine="0" w:firstLineChars="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八、包装及运输</w:t>
      </w:r>
    </w:p>
    <w:p w14:paraId="2520593A">
      <w:pPr>
        <w:spacing w:line="440" w:lineRule="exact"/>
        <w:ind w:left="0" w:leftChars="0" w:firstLine="240" w:firstLineChars="1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乙方应为商品提供适宜商品运输的包装方式，防潮，防湿，防震，防锈，耐粗暴搬运，对于由于包装不良所发生的损失及由于采用不充分或不妥善的防护措施而造成的任何锈损，乙方应承担由此而产生的一切费用和损失。</w:t>
      </w:r>
    </w:p>
    <w:p w14:paraId="1C32E1D8">
      <w:pPr>
        <w:spacing w:line="440" w:lineRule="exact"/>
        <w:ind w:left="0" w:leftChars="0" w:firstLine="240" w:firstLineChars="1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2、乙方负责无偿将商品运送至甲方指定地点。运输过程中，商品毁损、灭失的风险由乙方承担。</w:t>
      </w:r>
    </w:p>
    <w:p w14:paraId="0182FAB5">
      <w:pPr>
        <w:tabs>
          <w:tab w:val="left" w:pos="600"/>
        </w:tabs>
        <w:spacing w:line="440" w:lineRule="exact"/>
        <w:ind w:left="0" w:leftChars="0" w:firstLine="240" w:firstLineChars="1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3、商品运送至甲方指定地点后，由甲乙双方共同对商品进行检验并办理相关商品移交手续。商品移交后，商品毁损、灭失的风险由甲方承担。</w:t>
      </w:r>
    </w:p>
    <w:p w14:paraId="2E2066E1">
      <w:pPr>
        <w:spacing w:line="440" w:lineRule="exact"/>
        <w:ind w:left="0" w:leftChars="0" w:firstLine="240" w:firstLineChars="1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4、运输费用由乙方承担。</w:t>
      </w:r>
    </w:p>
    <w:p w14:paraId="35C2E53E">
      <w:pPr>
        <w:tabs>
          <w:tab w:val="left" w:pos="600"/>
        </w:tabs>
        <w:spacing w:line="440" w:lineRule="exact"/>
        <w:ind w:left="0" w:leftChars="0" w:firstLine="0" w:firstLineChars="0"/>
        <w:rPr>
          <w:rFonts w:hint="eastAsia"/>
        </w:rPr>
      </w:pPr>
      <w:r>
        <w:rPr>
          <w:rFonts w:hint="eastAsia" w:ascii="宋体" w:hAnsi="宋体" w:eastAsia="宋体" w:cs="宋体"/>
          <w:b/>
          <w:color w:val="auto"/>
          <w:kern w:val="0"/>
          <w:sz w:val="24"/>
          <w:szCs w:val="24"/>
        </w:rPr>
        <w:t>九、验收</w:t>
      </w:r>
    </w:p>
    <w:p w14:paraId="7FAA6943">
      <w:pPr>
        <w:pStyle w:val="12"/>
        <w:spacing w:line="440" w:lineRule="exact"/>
        <w:ind w:left="0" w:leftChars="0" w:firstLine="240" w:firstLineChars="100"/>
        <w:rPr>
          <w:rFonts w:hint="eastAsia" w:ascii="宋体" w:hAnsi="宋体" w:eastAsia="宋体" w:cs="宋体"/>
          <w:sz w:val="24"/>
          <w:szCs w:val="24"/>
        </w:rPr>
      </w:pPr>
      <w:r>
        <w:rPr>
          <w:rFonts w:hint="eastAsia" w:ascii="宋体" w:hAnsi="宋体" w:eastAsia="宋体" w:cs="宋体"/>
          <w:sz w:val="24"/>
          <w:szCs w:val="24"/>
        </w:rPr>
        <w:t>1）验收单位：由采购人负责组织验收。</w:t>
      </w:r>
    </w:p>
    <w:p w14:paraId="610F2AFA">
      <w:pPr>
        <w:pStyle w:val="12"/>
        <w:spacing w:line="440" w:lineRule="exact"/>
        <w:ind w:left="0" w:leftChars="0" w:firstLine="240" w:firstLineChars="100"/>
        <w:rPr>
          <w:rFonts w:hint="eastAsia" w:ascii="宋体" w:hAnsi="宋体" w:eastAsia="宋体" w:cs="宋体"/>
          <w:sz w:val="24"/>
          <w:szCs w:val="24"/>
        </w:rPr>
      </w:pPr>
      <w:r>
        <w:rPr>
          <w:rFonts w:hint="eastAsia" w:ascii="宋体" w:hAnsi="宋体" w:eastAsia="宋体" w:cs="宋体"/>
          <w:sz w:val="24"/>
          <w:szCs w:val="24"/>
        </w:rPr>
        <w:t>2）验收标准：按照国家及行业相关标准、招标文件规定、合同约定等标准进行验收，如验收达不到规定要求，对招标方造成一定的损失，中标方应承担一切责任，并赔偿所造成的损失。项目验收要求及处罚标准，合同另行约定。</w:t>
      </w:r>
    </w:p>
    <w:p w14:paraId="0D12BA56">
      <w:pPr>
        <w:pStyle w:val="12"/>
        <w:spacing w:line="440" w:lineRule="exact"/>
        <w:ind w:left="0" w:leftChars="0" w:firstLine="240" w:firstLineChars="100"/>
        <w:jc w:val="left"/>
        <w:rPr>
          <w:rFonts w:hint="eastAsia" w:ascii="宋体" w:hAnsi="宋体" w:eastAsia="宋体" w:cs="宋体"/>
          <w:sz w:val="24"/>
          <w:szCs w:val="24"/>
        </w:rPr>
      </w:pPr>
      <w:r>
        <w:rPr>
          <w:rFonts w:hint="eastAsia" w:ascii="宋体" w:hAnsi="宋体" w:eastAsia="宋体" w:cs="宋体"/>
          <w:sz w:val="24"/>
          <w:szCs w:val="24"/>
        </w:rPr>
        <w:t>3）中标供应商须在验收之前提供完整的资料。</w:t>
      </w:r>
    </w:p>
    <w:p w14:paraId="285F26D0">
      <w:pPr>
        <w:pStyle w:val="12"/>
        <w:spacing w:line="440" w:lineRule="exact"/>
        <w:ind w:left="0" w:leftChars="0" w:firstLine="240" w:firstLineChars="100"/>
        <w:rPr>
          <w:rFonts w:hint="eastAsia" w:ascii="宋体" w:hAnsi="宋体" w:eastAsia="宋体" w:cs="宋体"/>
          <w:sz w:val="24"/>
          <w:szCs w:val="24"/>
        </w:rPr>
      </w:pPr>
      <w:r>
        <w:rPr>
          <w:rFonts w:hint="eastAsia" w:ascii="宋体" w:hAnsi="宋体" w:eastAsia="宋体" w:cs="宋体"/>
          <w:sz w:val="24"/>
          <w:szCs w:val="24"/>
        </w:rPr>
        <w:t>4）中标供应商所提供货物、工程质量、技术参数、性能指标以及安装质量不符合合同规定标准的，采购人有权拒收；因此产生的一切经济损失由卖方承担。</w:t>
      </w:r>
    </w:p>
    <w:p w14:paraId="706408E3">
      <w:pPr>
        <w:pStyle w:val="12"/>
        <w:spacing w:line="440" w:lineRule="exact"/>
        <w:ind w:left="0" w:leftChars="0" w:firstLine="240" w:firstLineChars="100"/>
        <w:rPr>
          <w:rFonts w:hint="eastAsia" w:ascii="宋体" w:hAnsi="宋体" w:eastAsia="宋体" w:cs="宋体"/>
          <w:sz w:val="24"/>
          <w:szCs w:val="24"/>
        </w:rPr>
      </w:pPr>
      <w:r>
        <w:rPr>
          <w:rFonts w:hint="eastAsia" w:ascii="宋体" w:hAnsi="宋体" w:eastAsia="宋体" w:cs="宋体"/>
          <w:sz w:val="24"/>
          <w:szCs w:val="24"/>
        </w:rPr>
        <w:t>5）如果中标供应商没有按照</w:t>
      </w:r>
      <w:r>
        <w:rPr>
          <w:rFonts w:hint="eastAsia" w:ascii="宋体" w:hAnsi="宋体" w:eastAsia="宋体" w:cs="宋体"/>
          <w:sz w:val="24"/>
          <w:szCs w:val="24"/>
          <w:lang w:val="en-US" w:eastAsia="zh-CN"/>
        </w:rPr>
        <w:t>招标</w:t>
      </w:r>
      <w:r>
        <w:rPr>
          <w:rFonts w:hint="eastAsia" w:ascii="宋体" w:hAnsi="宋体" w:eastAsia="宋体" w:cs="宋体"/>
          <w:sz w:val="24"/>
          <w:szCs w:val="24"/>
        </w:rPr>
        <w:t>文件规定的时间交货，采购人依据相关法律法规的规定可以解除合同，因此产生的一切损失由中标供应商自行承担，并承担相应的法律责任。</w:t>
      </w:r>
    </w:p>
    <w:p w14:paraId="5250D02E">
      <w:pPr>
        <w:adjustRightInd w:val="0"/>
        <w:spacing w:line="440" w:lineRule="exact"/>
        <w:ind w:left="0" w:leftChars="0" w:firstLine="0" w:firstLineChars="0"/>
        <w:textAlignment w:val="baseline"/>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十、送货地点</w:t>
      </w:r>
    </w:p>
    <w:p w14:paraId="444DEAAC">
      <w:pPr>
        <w:adjustRightInd w:val="0"/>
        <w:spacing w:line="440" w:lineRule="exact"/>
        <w:ind w:left="0" w:leftChars="0" w:firstLine="480" w:firstLineChars="200"/>
        <w:textAlignment w:val="baseline"/>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陕西省档案馆（采购人指定地点）</w:t>
      </w:r>
      <w:r>
        <w:rPr>
          <w:rFonts w:hint="eastAsia" w:ascii="宋体" w:hAnsi="宋体" w:eastAsia="宋体" w:cs="宋体"/>
          <w:color w:val="auto"/>
          <w:kern w:val="0"/>
          <w:sz w:val="24"/>
          <w:szCs w:val="24"/>
        </w:rPr>
        <w:t>。</w:t>
      </w:r>
    </w:p>
    <w:p w14:paraId="20D12E41">
      <w:pPr>
        <w:pStyle w:val="4"/>
        <w:numPr>
          <w:ilvl w:val="0"/>
          <w:numId w:val="0"/>
        </w:numPr>
        <w:spacing w:line="500" w:lineRule="atLeast"/>
        <w:ind w:left="0" w:leftChars="0" w:firstLine="0" w:firstLineChars="0"/>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lang w:val="en-US" w:eastAsia="en-US" w:bidi="ar-SA"/>
        </w:rPr>
        <w:t>十一、</w:t>
      </w:r>
      <w:r>
        <w:rPr>
          <w:rFonts w:hint="eastAsia" w:ascii="宋体" w:hAnsi="宋体" w:eastAsia="宋体" w:cs="宋体"/>
          <w:b/>
          <w:color w:val="auto"/>
          <w:kern w:val="0"/>
          <w:sz w:val="24"/>
          <w:szCs w:val="24"/>
        </w:rPr>
        <w:t>付款方式</w:t>
      </w:r>
    </w:p>
    <w:p w14:paraId="0212D3A7">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500" w:lineRule="atLeas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rPr>
        <w:t>按通用条款相关内容执行。</w:t>
      </w:r>
    </w:p>
    <w:p w14:paraId="2E65B3A1">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left="0" w:leftChars="0" w:firstLine="0" w:firstLineChars="0"/>
        <w:textAlignment w:val="auto"/>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lang w:val="en-US" w:eastAsia="en-US" w:bidi="ar-SA"/>
        </w:rPr>
        <w:t>十二、</w:t>
      </w:r>
      <w:r>
        <w:rPr>
          <w:rFonts w:hint="eastAsia" w:ascii="宋体" w:hAnsi="宋体" w:eastAsia="宋体" w:cs="宋体"/>
          <w:b/>
          <w:color w:val="auto"/>
          <w:kern w:val="0"/>
          <w:sz w:val="24"/>
          <w:szCs w:val="24"/>
        </w:rPr>
        <w:t>违约责任</w:t>
      </w:r>
    </w:p>
    <w:p w14:paraId="1ED64E08">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left="0" w:leftChars="0" w:firstLine="480" w:firstLineChars="200"/>
        <w:textAlignment w:val="auto"/>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按通用条款相关内容执行。</w:t>
      </w:r>
    </w:p>
    <w:p w14:paraId="1FC72680">
      <w:pPr>
        <w:widowControl/>
        <w:spacing w:line="440" w:lineRule="exact"/>
        <w:ind w:left="0" w:leftChars="0" w:firstLine="0" w:firstLineChars="0"/>
        <w:rPr>
          <w:rFonts w:hint="eastAsia" w:ascii="宋体" w:hAnsi="宋体" w:eastAsia="宋体" w:cs="宋体"/>
          <w:b/>
          <w:bCs w:val="0"/>
          <w:color w:val="auto"/>
          <w:kern w:val="0"/>
          <w:sz w:val="24"/>
          <w:szCs w:val="24"/>
        </w:rPr>
      </w:pPr>
      <w:r>
        <w:rPr>
          <w:rFonts w:hint="eastAsia" w:ascii="宋体" w:hAnsi="宋体" w:eastAsia="宋体" w:cs="宋体"/>
          <w:b/>
          <w:bCs w:val="0"/>
          <w:color w:val="auto"/>
          <w:kern w:val="0"/>
          <w:sz w:val="24"/>
          <w:szCs w:val="24"/>
        </w:rPr>
        <w:t>十三、质量争议</w:t>
      </w:r>
    </w:p>
    <w:p w14:paraId="41599661">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left="0" w:leftChars="0" w:firstLine="480" w:firstLineChars="200"/>
        <w:textAlignment w:val="auto"/>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按通用条款相关内容执行。</w:t>
      </w:r>
    </w:p>
    <w:p w14:paraId="30180CB9">
      <w:pPr>
        <w:widowControl/>
        <w:spacing w:line="440" w:lineRule="exact"/>
        <w:ind w:left="0" w:leftChars="0" w:firstLine="0" w:firstLineChars="0"/>
        <w:rPr>
          <w:rFonts w:hint="eastAsia" w:ascii="宋体" w:hAnsi="宋体" w:eastAsia="宋体" w:cs="宋体"/>
          <w:color w:val="auto"/>
          <w:kern w:val="0"/>
          <w:sz w:val="24"/>
          <w:szCs w:val="24"/>
          <w:lang w:val="en-US" w:eastAsia="zh-CN"/>
        </w:rPr>
      </w:pPr>
      <w:r>
        <w:rPr>
          <w:rFonts w:hint="eastAsia" w:ascii="宋体" w:hAnsi="宋体" w:eastAsia="宋体" w:cs="宋体"/>
          <w:b/>
          <w:color w:val="auto"/>
          <w:kern w:val="0"/>
          <w:sz w:val="24"/>
          <w:szCs w:val="24"/>
        </w:rPr>
        <w:t>十四</w:t>
      </w:r>
      <w:r>
        <w:rPr>
          <w:rFonts w:hint="eastAsia" w:ascii="宋体" w:hAnsi="宋体" w:eastAsia="宋体" w:cs="宋体"/>
          <w:b/>
          <w:bCs/>
          <w:color w:val="auto"/>
          <w:kern w:val="0"/>
          <w:sz w:val="24"/>
          <w:szCs w:val="24"/>
        </w:rPr>
        <w:t>、</w:t>
      </w:r>
      <w:r>
        <w:rPr>
          <w:rFonts w:hint="eastAsia" w:ascii="宋体" w:hAnsi="宋体" w:eastAsia="宋体" w:cs="宋体"/>
          <w:b/>
          <w:bCs/>
          <w:color w:val="auto"/>
          <w:kern w:val="0"/>
          <w:sz w:val="24"/>
          <w:szCs w:val="24"/>
          <w:lang w:val="en-US" w:eastAsia="zh-CN"/>
        </w:rPr>
        <w:t>其他</w:t>
      </w:r>
    </w:p>
    <w:p w14:paraId="0601B6F4">
      <w:pPr>
        <w:keepNext w:val="0"/>
        <w:keepLines w:val="0"/>
        <w:pageBreakBefore w:val="0"/>
        <w:widowControl/>
        <w:kinsoku/>
        <w:wordWrap/>
        <w:overflowPunct/>
        <w:topLinePunct w:val="0"/>
        <w:autoSpaceDE/>
        <w:autoSpaceDN/>
        <w:bidi w:val="0"/>
        <w:adjustRightInd w:val="0"/>
        <w:snapToGrid w:val="0"/>
        <w:spacing w:line="440" w:lineRule="exact"/>
        <w:ind w:left="0" w:leftChars="0"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招标文件为本合同不可分割组成部分，其它未尽事宜由甲、乙</w:t>
      </w:r>
      <w:r>
        <w:rPr>
          <w:rFonts w:hint="eastAsia" w:ascii="宋体" w:hAnsi="宋体" w:eastAsia="宋体" w:cs="宋体"/>
          <w:color w:val="auto"/>
          <w:kern w:val="0"/>
          <w:sz w:val="24"/>
          <w:szCs w:val="24"/>
          <w:lang w:val="en-US" w:eastAsia="zh-CN"/>
        </w:rPr>
        <w:t>双</w:t>
      </w:r>
      <w:r>
        <w:rPr>
          <w:rFonts w:hint="eastAsia" w:ascii="宋体" w:hAnsi="宋体" w:eastAsia="宋体" w:cs="宋体"/>
          <w:color w:val="auto"/>
          <w:kern w:val="0"/>
          <w:sz w:val="24"/>
          <w:szCs w:val="24"/>
        </w:rPr>
        <w:t>方协商并签订相关的补充协议，签订的补充协议与本合同具有同等法律效力。</w:t>
      </w:r>
    </w:p>
    <w:p w14:paraId="63B1E68B">
      <w:pPr>
        <w:widowControl/>
        <w:spacing w:line="440" w:lineRule="exact"/>
        <w:ind w:left="0" w:leftChars="0"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甲、乙</w:t>
      </w:r>
      <w:r>
        <w:rPr>
          <w:rFonts w:hint="eastAsia" w:ascii="宋体" w:hAnsi="宋体" w:eastAsia="宋体" w:cs="宋体"/>
          <w:color w:val="auto"/>
          <w:kern w:val="0"/>
          <w:sz w:val="24"/>
          <w:szCs w:val="24"/>
          <w:lang w:val="en-US" w:eastAsia="zh-CN"/>
        </w:rPr>
        <w:t>双</w:t>
      </w:r>
      <w:r>
        <w:rPr>
          <w:rFonts w:hint="eastAsia" w:ascii="宋体" w:hAnsi="宋体" w:eastAsia="宋体" w:cs="宋体"/>
          <w:color w:val="auto"/>
          <w:kern w:val="0"/>
          <w:sz w:val="24"/>
          <w:szCs w:val="24"/>
        </w:rPr>
        <w:t>方发生诉讼时，由合同签订地人民法院管辖。</w:t>
      </w:r>
    </w:p>
    <w:p w14:paraId="5BCECD26">
      <w:pPr>
        <w:widowControl/>
        <w:spacing w:line="440" w:lineRule="exact"/>
        <w:ind w:left="0" w:leftChars="0"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本合同一式</w:t>
      </w:r>
      <w:r>
        <w:rPr>
          <w:rFonts w:hint="eastAsia" w:ascii="宋体" w:hAnsi="宋体" w:eastAsia="宋体" w:cs="宋体"/>
          <w:color w:val="auto"/>
          <w:kern w:val="0"/>
          <w:sz w:val="24"/>
          <w:szCs w:val="24"/>
          <w:lang w:val="en-US" w:eastAsia="zh-CN"/>
        </w:rPr>
        <w:t>肆</w:t>
      </w:r>
      <w:r>
        <w:rPr>
          <w:rFonts w:hint="eastAsia" w:ascii="宋体" w:hAnsi="宋体" w:eastAsia="宋体" w:cs="宋体"/>
          <w:color w:val="auto"/>
          <w:kern w:val="0"/>
          <w:sz w:val="24"/>
          <w:szCs w:val="24"/>
        </w:rPr>
        <w:t>份，由甲、乙</w:t>
      </w:r>
      <w:r>
        <w:rPr>
          <w:rFonts w:hint="eastAsia" w:ascii="宋体" w:hAnsi="宋体" w:eastAsia="宋体" w:cs="宋体"/>
          <w:color w:val="auto"/>
          <w:kern w:val="0"/>
          <w:sz w:val="24"/>
          <w:szCs w:val="24"/>
          <w:lang w:val="en-US" w:eastAsia="zh-CN"/>
        </w:rPr>
        <w:t>双</w:t>
      </w:r>
      <w:r>
        <w:rPr>
          <w:rFonts w:hint="eastAsia" w:ascii="宋体" w:hAnsi="宋体" w:eastAsia="宋体" w:cs="宋体"/>
          <w:color w:val="auto"/>
          <w:kern w:val="0"/>
          <w:sz w:val="24"/>
          <w:szCs w:val="24"/>
        </w:rPr>
        <w:t>方各执</w:t>
      </w:r>
      <w:r>
        <w:rPr>
          <w:rFonts w:hint="eastAsia" w:ascii="宋体" w:hAnsi="宋体" w:eastAsia="宋体" w:cs="宋体"/>
          <w:color w:val="auto"/>
          <w:kern w:val="0"/>
          <w:sz w:val="24"/>
          <w:szCs w:val="24"/>
          <w:lang w:val="en-US" w:eastAsia="zh-CN"/>
        </w:rPr>
        <w:t>贰</w:t>
      </w:r>
      <w:r>
        <w:rPr>
          <w:rFonts w:hint="eastAsia" w:ascii="宋体" w:hAnsi="宋体" w:eastAsia="宋体" w:cs="宋体"/>
          <w:color w:val="auto"/>
          <w:kern w:val="0"/>
          <w:sz w:val="24"/>
          <w:szCs w:val="24"/>
        </w:rPr>
        <w:t>份，具备相同的法律效应。</w:t>
      </w:r>
    </w:p>
    <w:p w14:paraId="049FCD6B">
      <w:pPr>
        <w:pStyle w:val="7"/>
        <w:spacing w:line="240" w:lineRule="auto"/>
        <w:rPr>
          <w:rFonts w:hint="eastAsia" w:ascii="宋体" w:hAnsi="宋体" w:eastAsia="宋体" w:cs="宋体"/>
          <w:color w:val="auto"/>
          <w:kern w:val="0"/>
          <w:sz w:val="24"/>
          <w:szCs w:val="24"/>
        </w:rPr>
      </w:pPr>
    </w:p>
    <w:p w14:paraId="02FF5E0B">
      <w:pPr>
        <w:pStyle w:val="7"/>
        <w:spacing w:line="240" w:lineRule="auto"/>
        <w:rPr>
          <w:rFonts w:hint="eastAsia" w:ascii="宋体" w:hAnsi="宋体" w:eastAsia="宋体" w:cs="宋体"/>
          <w:color w:val="auto"/>
          <w:kern w:val="0"/>
          <w:sz w:val="24"/>
          <w:szCs w:val="24"/>
        </w:rPr>
      </w:pPr>
    </w:p>
    <w:p w14:paraId="7D885709">
      <w:pPr>
        <w:pStyle w:val="7"/>
        <w:spacing w:line="240" w:lineRule="auto"/>
        <w:rPr>
          <w:rFonts w:hint="eastAsia" w:ascii="宋体" w:hAnsi="宋体" w:eastAsia="宋体" w:cs="宋体"/>
          <w:color w:val="auto"/>
          <w:kern w:val="0"/>
          <w:sz w:val="24"/>
          <w:szCs w:val="24"/>
        </w:rPr>
      </w:pPr>
    </w:p>
    <w:tbl>
      <w:tblPr>
        <w:tblStyle w:val="9"/>
        <w:tblW w:w="901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08"/>
        <w:gridCol w:w="4508"/>
      </w:tblGrid>
      <w:tr w14:paraId="7AB50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8" w:type="dxa"/>
          </w:tcPr>
          <w:p w14:paraId="2E97E3CA">
            <w:pPr>
              <w:pStyle w:val="4"/>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 xml:space="preserve">甲方：                               </w:t>
            </w:r>
          </w:p>
          <w:p w14:paraId="7419B729">
            <w:pPr>
              <w:pStyle w:val="4"/>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开 户 名：</w:t>
            </w:r>
          </w:p>
          <w:p w14:paraId="589339B0">
            <w:pPr>
              <w:pStyle w:val="4"/>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开 户 行：</w:t>
            </w:r>
          </w:p>
          <w:p w14:paraId="79C21908">
            <w:pPr>
              <w:pStyle w:val="4"/>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开户账号：</w:t>
            </w:r>
          </w:p>
          <w:p w14:paraId="6DECE3FD">
            <w:pPr>
              <w:pStyle w:val="4"/>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法定代表人或委托代理人签字： </w:t>
            </w:r>
          </w:p>
          <w:p w14:paraId="4788FE77">
            <w:pPr>
              <w:spacing w:line="360" w:lineRule="auto"/>
              <w:rPr>
                <w:rFonts w:hint="eastAsia" w:ascii="宋体" w:hAnsi="宋体" w:eastAsia="宋体" w:cs="宋体"/>
                <w:color w:val="auto"/>
                <w:sz w:val="24"/>
                <w:szCs w:val="24"/>
              </w:rPr>
            </w:pPr>
            <w:r>
              <w:rPr>
                <w:rFonts w:hint="eastAsia" w:ascii="宋体" w:hAnsi="宋体" w:eastAsia="宋体" w:cs="宋体"/>
                <w:bCs/>
                <w:color w:val="auto"/>
                <w:sz w:val="24"/>
                <w:szCs w:val="24"/>
              </w:rPr>
              <w:t>电    话：</w:t>
            </w:r>
          </w:p>
        </w:tc>
        <w:tc>
          <w:tcPr>
            <w:tcW w:w="4508" w:type="dxa"/>
          </w:tcPr>
          <w:p w14:paraId="1C73E8DA">
            <w:pPr>
              <w:pStyle w:val="4"/>
              <w:spacing w:line="360" w:lineRule="auto"/>
              <w:rPr>
                <w:rFonts w:hint="eastAsia" w:ascii="宋体" w:hAnsi="宋体" w:eastAsia="宋体" w:cs="宋体"/>
                <w:b/>
                <w:bCs/>
                <w:color w:val="auto"/>
                <w:sz w:val="24"/>
                <w:szCs w:val="24"/>
              </w:rPr>
            </w:pPr>
            <w:r>
              <w:rPr>
                <w:rFonts w:hint="eastAsia" w:hAnsi="宋体" w:eastAsia="宋体" w:cs="宋体"/>
                <w:b/>
                <w:bCs/>
                <w:color w:val="auto"/>
                <w:sz w:val="24"/>
                <w:szCs w:val="24"/>
                <w:lang w:val="en-US" w:eastAsia="zh-CN"/>
              </w:rPr>
              <w:t>乙</w:t>
            </w:r>
            <w:r>
              <w:rPr>
                <w:rFonts w:hint="eastAsia" w:ascii="宋体" w:hAnsi="宋体" w:eastAsia="宋体" w:cs="宋体"/>
                <w:b/>
                <w:bCs/>
                <w:color w:val="auto"/>
                <w:sz w:val="24"/>
                <w:szCs w:val="24"/>
              </w:rPr>
              <w:t xml:space="preserve">方：                               </w:t>
            </w:r>
          </w:p>
          <w:p w14:paraId="773DE5B1">
            <w:pPr>
              <w:pStyle w:val="4"/>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开 户 名：</w:t>
            </w:r>
          </w:p>
          <w:p w14:paraId="5F9EB727">
            <w:pPr>
              <w:pStyle w:val="4"/>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开 户 行：</w:t>
            </w:r>
          </w:p>
          <w:p w14:paraId="07841BFA">
            <w:pPr>
              <w:pStyle w:val="4"/>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开户账号：</w:t>
            </w:r>
          </w:p>
          <w:p w14:paraId="7BA287E8">
            <w:pPr>
              <w:pStyle w:val="4"/>
              <w:spacing w:line="360" w:lineRule="auto"/>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法定代表人或委托代理人签字： </w:t>
            </w:r>
          </w:p>
          <w:p w14:paraId="6C566457">
            <w:pPr>
              <w:spacing w:line="360" w:lineRule="auto"/>
              <w:rPr>
                <w:rFonts w:hint="eastAsia" w:ascii="宋体" w:hAnsi="宋体" w:eastAsia="宋体" w:cs="宋体"/>
                <w:color w:val="auto"/>
                <w:sz w:val="24"/>
                <w:szCs w:val="24"/>
              </w:rPr>
            </w:pPr>
            <w:r>
              <w:rPr>
                <w:rFonts w:hint="eastAsia" w:ascii="宋体" w:hAnsi="宋体" w:eastAsia="宋体" w:cs="宋体"/>
                <w:bCs/>
                <w:color w:val="auto"/>
                <w:sz w:val="24"/>
                <w:szCs w:val="24"/>
              </w:rPr>
              <w:t>电    话：</w:t>
            </w:r>
          </w:p>
        </w:tc>
      </w:tr>
      <w:tr w14:paraId="4525E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16" w:type="dxa"/>
            <w:gridSpan w:val="2"/>
          </w:tcPr>
          <w:p w14:paraId="1051D859">
            <w:pPr>
              <w:pStyle w:val="4"/>
              <w:spacing w:line="360" w:lineRule="auto"/>
              <w:rPr>
                <w:rFonts w:hint="eastAsia" w:ascii="宋体" w:hAnsi="宋体" w:eastAsia="宋体" w:cs="宋体"/>
                <w:b/>
                <w:bCs/>
                <w:color w:val="auto"/>
                <w:sz w:val="24"/>
                <w:szCs w:val="24"/>
              </w:rPr>
            </w:pPr>
          </w:p>
        </w:tc>
      </w:tr>
      <w:bookmarkEnd w:id="4"/>
      <w:bookmarkEnd w:id="5"/>
      <w:bookmarkEnd w:id="6"/>
    </w:tbl>
    <w:p w14:paraId="78A54F12">
      <w:pPr>
        <w:pStyle w:val="4"/>
        <w:spacing w:line="360" w:lineRule="auto"/>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签订地点: </w:t>
      </w:r>
    </w:p>
    <w:p w14:paraId="1D5D841D">
      <w:pPr>
        <w:pStyle w:val="11"/>
        <w:spacing w:line="360" w:lineRule="auto"/>
        <w:ind w:firstLine="482" w:firstLineChars="200"/>
        <w:rPr>
          <w:rFonts w:hint="eastAsia"/>
          <w:lang w:val="en-US" w:eastAsia="zh-Hans"/>
        </w:rPr>
      </w:pPr>
      <w:r>
        <w:rPr>
          <w:rFonts w:hint="eastAsia" w:ascii="宋体" w:hAnsi="宋体" w:eastAsia="宋体" w:cs="宋体"/>
          <w:b/>
          <w:color w:val="auto"/>
          <w:sz w:val="24"/>
          <w:szCs w:val="24"/>
        </w:rPr>
        <w:t>签订日期：    年   月   日</w:t>
      </w:r>
    </w:p>
    <w:p w14:paraId="503A53C9"/>
    <w:sectPr>
      <w:footerReference r:id="rId5" w:type="default"/>
      <w:pgSz w:w="11906" w:h="16838"/>
      <w:pgMar w:top="1247"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9AB02">
    <w:pPr>
      <w:pStyle w:val="6"/>
      <w:pBdr>
        <w:top w:val="none" w:color="A5A5A5" w:sz="0" w:space="1"/>
      </w:pBdr>
      <w:ind w:left="425" w:right="360" w:hanging="425"/>
      <w:rPr>
        <w:color w:val="7F7F7F"/>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4795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147955"/>
                      </a:xfrm>
                      <a:prstGeom prst="rect">
                        <a:avLst/>
                      </a:prstGeom>
                      <a:noFill/>
                      <a:ln>
                        <a:noFill/>
                      </a:ln>
                    </wps:spPr>
                    <wps:txbx>
                      <w:txbxContent>
                        <w:p w14:paraId="694A7BA7">
                          <w:pPr>
                            <w:pStyle w:val="6"/>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65pt;width:9.05pt;mso-position-horizontal:center;mso-position-horizontal-relative:margin;mso-wrap-style:none;z-index:251659264;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6W/D9EAAAADAQAADwAAAAAAAAABACAAAAAiAAAAZHJzL2Rv&#10;d25yZXYueG1sUEsBAhQAFAAAAAgAh07iQARK+0UIAgAAAgQAAA4AAAAAAAAAAQAgAAAAIAEAAGRy&#10;cy9lMm9Eb2MueG1sUEsFBgAAAAAGAAYAWQEAAJoFAAAAAA==&#10;">
              <v:fill on="f" focussize="0,0"/>
              <v:stroke on="f"/>
              <v:imagedata o:title=""/>
              <o:lock v:ext="edit" aspectratio="f"/>
              <v:textbox inset="0mm,0mm,0mm,0mm" style="mso-fit-shape-to-text:t;">
                <w:txbxContent>
                  <w:p w14:paraId="694A7BA7">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9646BD"/>
    <w:multiLevelType w:val="multilevel"/>
    <w:tmpl w:val="8F9646BD"/>
    <w:lvl w:ilvl="0" w:tentative="0">
      <w:start w:val="1"/>
      <w:numFmt w:val="decimal"/>
      <w:suff w:val="nothing"/>
      <w:lvlText w:val="%1."/>
      <w:lvlJc w:val="left"/>
      <w:pPr>
        <w:ind w:left="432" w:hanging="432"/>
      </w:pPr>
      <w:rPr>
        <w:rFonts w:hint="default"/>
      </w:rPr>
    </w:lvl>
    <w:lvl w:ilvl="1" w:tentative="0">
      <w:start w:val="1"/>
      <w:numFmt w:val="decimal"/>
      <w:pStyle w:val="2"/>
      <w:suff w:val="nothing"/>
      <w:lvlText w:val="%1.%2."/>
      <w:lvlJc w:val="left"/>
      <w:pPr>
        <w:ind w:left="1000" w:hanging="575"/>
      </w:pPr>
      <w:rPr>
        <w:rFonts w:hint="default"/>
      </w:rPr>
    </w:lvl>
    <w:lvl w:ilvl="2" w:tentative="0">
      <w:start w:val="1"/>
      <w:numFmt w:val="decimal"/>
      <w:suff w:val="nothing"/>
      <w:lvlText w:val="%1.%2.%3."/>
      <w:lvlJc w:val="left"/>
      <w:pPr>
        <w:ind w:left="720" w:hanging="720"/>
      </w:pPr>
      <w:rPr>
        <w:rFonts w:hint="default"/>
      </w:rPr>
    </w:lvl>
    <w:lvl w:ilvl="3" w:tentative="0">
      <w:start w:val="1"/>
      <w:numFmt w:val="decimal"/>
      <w:suff w:val="nothing"/>
      <w:lvlText w:val="%1.%2.%3.%4."/>
      <w:lvlJc w:val="left"/>
      <w:pPr>
        <w:ind w:left="864" w:hanging="864"/>
      </w:pPr>
      <w:rPr>
        <w:rFonts w:hint="default"/>
      </w:rPr>
    </w:lvl>
    <w:lvl w:ilvl="4" w:tentative="0">
      <w:start w:val="1"/>
      <w:numFmt w:val="decimal"/>
      <w:suff w:val="nothing"/>
      <w:lvlText w:val="%1.%2.%3.%4.%5."/>
      <w:lvlJc w:val="left"/>
      <w:pPr>
        <w:ind w:left="1008" w:hanging="1008"/>
      </w:pPr>
      <w:rPr>
        <w:rFonts w:hint="default"/>
      </w:rPr>
    </w:lvl>
    <w:lvl w:ilvl="5" w:tentative="0">
      <w:start w:val="1"/>
      <w:numFmt w:val="decimal"/>
      <w:suff w:val="nothing"/>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F21FAB"/>
    <w:rsid w:val="7B906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line="360" w:lineRule="auto"/>
      <w:ind w:firstLine="200" w:firstLineChars="200"/>
      <w:jc w:val="both"/>
    </w:pPr>
    <w:rPr>
      <w:rFonts w:ascii="仿宋_GB2312" w:hAnsi="仿宋_GB2312" w:eastAsia="仿宋_GB2312" w:cs="仿宋_GB2312"/>
      <w:sz w:val="28"/>
      <w:szCs w:val="28"/>
      <w:lang w:val="en-US" w:eastAsia="en-US" w:bidi="ar-SA"/>
    </w:rPr>
  </w:style>
  <w:style w:type="paragraph" w:styleId="2">
    <w:name w:val="heading 2"/>
    <w:basedOn w:val="1"/>
    <w:next w:val="1"/>
    <w:unhideWhenUsed/>
    <w:qFormat/>
    <w:uiPriority w:val="0"/>
    <w:pPr>
      <w:keepNext/>
      <w:keepLines/>
      <w:numPr>
        <w:ilvl w:val="1"/>
        <w:numId w:val="1"/>
      </w:numPr>
      <w:ind w:firstLineChars="0"/>
      <w:outlineLvl w:val="1"/>
    </w:pPr>
    <w:rPr>
      <w:bCs/>
      <w:sz w:val="30"/>
      <w:szCs w:val="32"/>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Indent"/>
    <w:basedOn w:val="1"/>
    <w:semiHidden/>
    <w:unhideWhenUsed/>
    <w:qFormat/>
    <w:uiPriority w:val="99"/>
    <w:pPr>
      <w:spacing w:after="120"/>
      <w:ind w:left="420" w:leftChars="200"/>
    </w:pPr>
  </w:style>
  <w:style w:type="paragraph" w:styleId="4">
    <w:name w:val="Plain Text"/>
    <w:basedOn w:val="1"/>
    <w:next w:val="1"/>
    <w:qFormat/>
    <w:uiPriority w:val="0"/>
    <w:rPr>
      <w:rFonts w:ascii="宋体" w:hAnsi="Courier New"/>
    </w:rPr>
  </w:style>
  <w:style w:type="paragraph" w:styleId="5">
    <w:name w:val="Date"/>
    <w:basedOn w:val="1"/>
    <w:next w:val="1"/>
    <w:qFormat/>
    <w:uiPriority w:val="0"/>
    <w:pPr>
      <w:ind w:left="100" w:leftChars="2500"/>
    </w:pPr>
  </w:style>
  <w:style w:type="paragraph" w:styleId="6">
    <w:name w:val="footer"/>
    <w:basedOn w:val="1"/>
    <w:unhideWhenUsed/>
    <w:qFormat/>
    <w:uiPriority w:val="0"/>
    <w:pPr>
      <w:tabs>
        <w:tab w:val="center" w:pos="4153"/>
        <w:tab w:val="right" w:pos="8306"/>
      </w:tabs>
      <w:snapToGrid w:val="0"/>
      <w:jc w:val="left"/>
    </w:pPr>
    <w:rPr>
      <w:sz w:val="18"/>
      <w:szCs w:val="18"/>
    </w:rPr>
  </w:style>
  <w:style w:type="paragraph" w:styleId="7">
    <w:name w:val="Body Text First Indent 2"/>
    <w:basedOn w:val="3"/>
    <w:semiHidden/>
    <w:unhideWhenUsed/>
    <w:qFormat/>
    <w:uiPriority w:val="99"/>
    <w:pPr>
      <w:ind w:firstLine="420" w:firstLineChars="200"/>
    </w:p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styleId="12">
    <w:name w:val="List Paragraph"/>
    <w:basedOn w:val="1"/>
    <w:qFormat/>
    <w:uiPriority w:val="0"/>
    <w:pPr>
      <w:ind w:firstLine="420" w:firstLineChars="200"/>
    </w:pPr>
    <w:rPr>
      <w:rFonts w:ascii="Calibri" w:hAnsi="Calibri"/>
      <w:color w:val="auto"/>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4850</Words>
  <Characters>4905</Characters>
  <Lines>0</Lines>
  <Paragraphs>0</Paragraphs>
  <TotalTime>1</TotalTime>
  <ScaleCrop>false</ScaleCrop>
  <LinksUpToDate>false</LinksUpToDate>
  <CharactersWithSpaces>5078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2026-06-08T09:13:00Z</dcterms:created>
  <dc:creator>中达国创</dc:creator>
  <cp:lastModifiedBy>T iA mo.</cp:lastModifiedBy>
  <dcterms:modified xsi:type="dcterms:W3CDTF">2026-07-09T10:49:13Z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eyJoZGlkIjoiMTFiYTM4ZWIzOTJmMDVhMjc1OTBhMDEwNmRmMDAwNDUiLCJ1c2VySWQiOiIxMjY1MTc4OTA3In0=</vt:lpwstr>
  </property>
  <property fmtid="{D5CDD505-2E9C-101B-9397-08002B2CF9AE}" pid="4" name="ICV">
    <vt:lpwstr>26E67FB50D744FAB862B9D1281FC0BDA_12</vt:lpwstr>
  </property>
</Properties>
</file>