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版本号：YXZB-2026-051220260611001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耕地和永久基本农田成果审查和技术分析项目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YXZB-2026-0512</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耕地和永久基本农田成果审查和技术分析项目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YXZB-2026-0512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耕地和永久基本农田成果审查和技术分析项目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永久基本农田保护红线管理办法》《陕西省自然资源厅关于做好重大建设项目占用永久基本农田有关问题的通知》(陕自然资耕发[2020]1号)《陕西省自然资源厅陕西省农业农村厅关于建立全省永久基本农田储备库制度及有关工作的通知》(陕自然资发[2025]838号)及《市级党委和政府落实耕地保护和粮食安全责任制考核办法》等文件要求，为切实加强耕地和永久基本农田保护，落实国土空间规划和用途管制政策，严格督查管理占用耕地和永久基本农田合法、合规、合理性，确保顺利通过国家及省级耕地保护责任目标考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采购包1（耕地和永久基本农田成果审查和技术分析项目）：属于专门面向中小企业采购。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证明文件：提供合格有效的法人或者其他组织的营业执照等证明文件，自然人的身份证明；投标人是法人或其他组织的应提供营业执照等证明文件，投标人是自然人的应提供有效的自然人身份证明（提供加盖单位公章附在投标文件中）</w:t>
      </w:r>
    </w:p>
    <w:p>
      <w:pPr>
        <w:pStyle w:val="null3"/>
      </w:pPr>
      <w:r>
        <w:rPr>
          <w:rFonts w:ascii="仿宋_GB2312" w:hAnsi="仿宋_GB2312" w:cs="仿宋_GB2312" w:eastAsia="仿宋_GB2312"/>
        </w:rPr>
        <w:t>2、税收缴纳证明：提供投标截止日前一年内已缴纳的至少一个月的纳税证明或完税证明，依法免税的单位应提供相关证明材料；</w:t>
      </w:r>
    </w:p>
    <w:p>
      <w:pPr>
        <w:pStyle w:val="null3"/>
      </w:pPr>
      <w:r>
        <w:rPr>
          <w:rFonts w:ascii="仿宋_GB2312" w:hAnsi="仿宋_GB2312" w:cs="仿宋_GB2312" w:eastAsia="仿宋_GB2312"/>
        </w:rPr>
        <w:t>3、社会保障资金缴纳证明：提供投标截止日前一年内已缴存的至少一个月的社会保障资金缴存单据或社保机构开具的社会保险参保缴费情况证明，依法不需要缴纳社会保障资金的单位应提供相关证明材料；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4、履行合同所必需的设备和专业技术能力的承诺：提供具有履行合同所必需的设备和专业技术能力的承诺；</w:t>
      </w:r>
    </w:p>
    <w:p>
      <w:pPr>
        <w:pStyle w:val="null3"/>
      </w:pPr>
      <w:r>
        <w:rPr>
          <w:rFonts w:ascii="仿宋_GB2312" w:hAnsi="仿宋_GB2312" w:cs="仿宋_GB2312" w:eastAsia="仿宋_GB2312"/>
        </w:rPr>
        <w:t>5、三年内无重大违法记录的书面声明：参加政府采购活动前3年内，在经营活动中没有重大违法记录的书面声明。</w:t>
      </w:r>
    </w:p>
    <w:p>
      <w:pPr>
        <w:pStyle w:val="null3"/>
      </w:pPr>
      <w:r>
        <w:rPr>
          <w:rFonts w:ascii="仿宋_GB2312" w:hAnsi="仿宋_GB2312" w:cs="仿宋_GB2312" w:eastAsia="仿宋_GB2312"/>
        </w:rPr>
        <w:t>6、信誉要求：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7、法定代表人授权书：法定代表人授权书（法定代表人直接参加投标，须提供法定代表人身份证明）；</w:t>
      </w:r>
    </w:p>
    <w:p>
      <w:pPr>
        <w:pStyle w:val="null3"/>
      </w:pPr>
      <w:r>
        <w:rPr>
          <w:rFonts w:ascii="仿宋_GB2312" w:hAnsi="仿宋_GB2312" w:cs="仿宋_GB2312" w:eastAsia="仿宋_GB2312"/>
        </w:rPr>
        <w:t>8、资质要求：投标供应商需具有行业主管部门颁发的土地规划乙级及以上资质（含乙级）；</w:t>
      </w:r>
    </w:p>
    <w:p>
      <w:pPr>
        <w:pStyle w:val="null3"/>
      </w:pPr>
      <w:r>
        <w:rPr>
          <w:rFonts w:ascii="仿宋_GB2312" w:hAnsi="仿宋_GB2312" w:cs="仿宋_GB2312" w:eastAsia="仿宋_GB2312"/>
        </w:rPr>
        <w:t>9、类似业绩：具有近3年内类似业绩或类似经验，（类似业绩：供应商需提供加盖单位公章的合同扫描件，类似经验：供应商需提供加盖单位公章的相关证明资料）；</w:t>
      </w:r>
    </w:p>
    <w:p>
      <w:pPr>
        <w:pStyle w:val="null3"/>
      </w:pPr>
      <w:r>
        <w:rPr>
          <w:rFonts w:ascii="仿宋_GB2312" w:hAnsi="仿宋_GB2312" w:cs="仿宋_GB2312" w:eastAsia="仿宋_GB2312"/>
        </w:rPr>
        <w:t>10、本项目不接受联合体磋商：本项目不接受联合体磋商，单位负责人为同一人或者存在直接控股、管理关系的不同供应商，不得参加同一合同项下的政府采购活动（提供书面声明）。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张荣涛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陕西省西安市高新区丈八一路泰维智链中心1期B栋2楼202室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孙梅雪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029-81141306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采购包1：1,253,400.00元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不足5000.00元，按5000.00元收取。此服务费应计入磋商报价中，但不需要单独开列。 2.采购代理服务费收取： 单位名称：陕西玥鑫项目管理有限公司 开户银行：中国建设银行股份有限公司西安祥和居支行 银行账户：6105 0110 1948 0000 0615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以采购文件及后续签订合同规定内容为准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联系人：孙梅雪</w:t>
      </w:r>
    </w:p>
    <w:p>
      <w:pPr>
        <w:pStyle w:val="null3"/>
      </w:pPr>
      <w:r>
        <w:rPr>
          <w:rFonts w:ascii="仿宋_GB2312" w:hAnsi="仿宋_GB2312" w:cs="仿宋_GB2312" w:eastAsia="仿宋_GB2312"/>
        </w:rPr>
        <w:t>联系电话：17791286164</w:t>
      </w:r>
    </w:p>
    <w:p>
      <w:pPr>
        <w:pStyle w:val="null3"/>
      </w:pPr>
      <w:r>
        <w:rPr>
          <w:rFonts w:ascii="仿宋_GB2312" w:hAnsi="仿宋_GB2312" w:cs="仿宋_GB2312" w:eastAsia="仿宋_GB2312"/>
        </w:rPr>
        <w:t>地址：陕西省西安市高新区丈八一路泰维智链中心1期B栋2楼202室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永久基本农田保护红线管理办法》《陕西省自然资源厅关于做好重大建设项目占用永久基本农田有关问题的通知》(陕自然资耕发[2020]1号)《陕西省自然资源厅陕西省农业农村厅关于建立全省永久基本农田储备库制度及有关工作的通知》(陕自然资发[2025]838号)及《市级党委和政府落实耕地保护和粮食安全责任制考核办法》等文件要求，为切实加强耕地和永久基本农田保护，落实国土空间规划和用途管制政策，严格督查管理占用耕地和永久基本农田合法、合规、合理性，确保顺利通过国家及省级耕地保护责任目标考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1,253,400.00</w:t>
      </w:r>
    </w:p>
    <w:p>
      <w:pPr>
        <w:pStyle w:val="null3"/>
      </w:pPr>
      <w:r>
        <w:rPr>
          <w:rFonts w:ascii="仿宋_GB2312" w:hAnsi="仿宋_GB2312" w:cs="仿宋_GB2312" w:eastAsia="仿宋_GB2312"/>
        </w:rPr>
        <w:t>采购包最高限价（元）: 1,253,400.00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耕地和永久基本农田成果审查和技术分析项目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1,253,400.00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标的名称：耕地和永久基本农田成果审查和技术分析项目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 xml:space="preserve">    一、项目概况</w:t>
            </w:r>
          </w:p>
          <w:p>
            <w:pPr>
              <w:pStyle w:val="null3"/>
              <w:jc w:val="both"/>
            </w:pPr>
            <w:r>
              <w:rPr>
                <w:rFonts w:ascii="仿宋_GB2312" w:hAnsi="仿宋_GB2312" w:cs="仿宋_GB2312" w:eastAsia="仿宋_GB2312"/>
              </w:rPr>
              <w:t xml:space="preserve">    按照《永久基本农田保护红线管理办法》《陕西省自然资源厅关于做好重大建设项目占用永久基本农田有关问题的通知》</w:t>
            </w:r>
            <w:r>
              <w:rPr>
                <w:rFonts w:ascii="仿宋_GB2312" w:hAnsi="仿宋_GB2312" w:cs="仿宋_GB2312" w:eastAsia="仿宋_GB2312"/>
              </w:rPr>
              <w:t>(陕自然资耕发[2020]1号)《陕西省自然资源厅陕西省农业农村厅关于建立全省永久基本农田储备库制度及有关工作的通知》(陕自然资发[2025]838号)及《市级党委和政府落实耕地保护和粮食安全责任制考核办法》等文件要求，为切实加强耕地和永久基本农田保护，落实国土空间规划和用途管制政策，严格督查管理占用耕地和永久基本农田合法、合规、合理性，确保顺利通过国家及省级耕地保护责任目标考核。</w:t>
            </w:r>
          </w:p>
          <w:p>
            <w:pPr>
              <w:pStyle w:val="null3"/>
              <w:jc w:val="both"/>
            </w:pPr>
            <w:r>
              <w:rPr>
                <w:rFonts w:ascii="仿宋_GB2312" w:hAnsi="仿宋_GB2312" w:cs="仿宋_GB2312" w:eastAsia="仿宋_GB2312"/>
              </w:rPr>
              <w:t xml:space="preserve">    二、服务内容</w:t>
            </w:r>
          </w:p>
          <w:p>
            <w:pPr>
              <w:pStyle w:val="null3"/>
              <w:jc w:val="both"/>
            </w:pPr>
            <w:r>
              <w:rPr>
                <w:rFonts w:ascii="仿宋_GB2312" w:hAnsi="仿宋_GB2312" w:cs="仿宋_GB2312" w:eastAsia="仿宋_GB2312"/>
              </w:rPr>
              <w:t xml:space="preserve">    (1)工作区域:西安市13个涉农行政区县及西咸新区(直管区)咸阳部分。</w:t>
            </w:r>
          </w:p>
          <w:p>
            <w:pPr>
              <w:pStyle w:val="null3"/>
              <w:jc w:val="both"/>
            </w:pPr>
            <w:r>
              <w:rPr>
                <w:rFonts w:ascii="仿宋_GB2312" w:hAnsi="仿宋_GB2312" w:cs="仿宋_GB2312" w:eastAsia="仿宋_GB2312"/>
              </w:rPr>
              <w:t xml:space="preserve">    (2)工作内容:包括1)永久基本农田调整审查:对建设项目占用耕地和永久基本农田市级审核提供技术支撑，对区县上报的永久基本农田调整事项进行合规性、合理性技术审查;2)耕地和永久基本农田日常动态变化分析:定期开展全市耕地和永久基本农田动态变化技术分析，对耕地保护考核目标任务完成情况实施动态监测与预警分析;3)永久基本农田储备库年度更新:对各区县永久基本农田储备区更新成果进行市级技术审查;4)耕地资源潜力分析:为全市耕地保护空间和耕地补充空间核实工作提供技术支撑，建立耕地资源后备区。</w:t>
            </w:r>
          </w:p>
          <w:p>
            <w:pPr>
              <w:pStyle w:val="null3"/>
              <w:jc w:val="both"/>
            </w:pPr>
            <w:r>
              <w:rPr>
                <w:rFonts w:ascii="仿宋_GB2312" w:hAnsi="仿宋_GB2312" w:cs="仿宋_GB2312" w:eastAsia="仿宋_GB2312"/>
              </w:rPr>
              <w:t xml:space="preserve">    三、技术要求</w:t>
            </w:r>
          </w:p>
          <w:p>
            <w:pPr>
              <w:pStyle w:val="null3"/>
              <w:numPr>
                <w:ilvl w:val="0"/>
                <w:numId w:val="1"/>
              </w:numPr>
              <w:jc w:val="both"/>
            </w:pPr>
            <w:r>
              <w:rPr>
                <w:rFonts w:ascii="仿宋_GB2312" w:hAnsi="仿宋_GB2312" w:cs="仿宋_GB2312" w:eastAsia="仿宋_GB2312"/>
              </w:rPr>
              <w:t>熟悉部、省、市关于耕地保护相关的政策要求；</w:t>
            </w:r>
          </w:p>
          <w:p>
            <w:pPr>
              <w:pStyle w:val="null3"/>
              <w:jc w:val="both"/>
            </w:pPr>
            <w:r>
              <w:rPr>
                <w:rFonts w:ascii="仿宋_GB2312" w:hAnsi="仿宋_GB2312" w:cs="仿宋_GB2312" w:eastAsia="仿宋_GB2312"/>
              </w:rPr>
              <w:t xml:space="preserve">    2.熟悉西安市各区县耕地和永久基本农田分布情况，有一定的国土空间规划、国土调查、耕地和永久基本农田核实处置、永久基本农田储备库、耕地和永久基本农田保护等相关工作基础；</w:t>
            </w:r>
          </w:p>
          <w:p>
            <w:pPr>
              <w:pStyle w:val="null3"/>
              <w:jc w:val="both"/>
            </w:pPr>
            <w:r>
              <w:rPr>
                <w:rFonts w:ascii="仿宋_GB2312" w:hAnsi="仿宋_GB2312" w:cs="仿宋_GB2312" w:eastAsia="仿宋_GB2312"/>
              </w:rPr>
              <w:t xml:space="preserve">    3.熟练运用数据库建设、审核、质检等相关专业软件。</w:t>
            </w:r>
          </w:p>
          <w:p>
            <w:pPr>
              <w:pStyle w:val="null3"/>
              <w:jc w:val="both"/>
            </w:pPr>
            <w:r>
              <w:rPr>
                <w:rFonts w:ascii="仿宋_GB2312" w:hAnsi="仿宋_GB2312" w:cs="仿宋_GB2312" w:eastAsia="仿宋_GB2312"/>
              </w:rPr>
              <w:t xml:space="preserve">    四、服务要求</w:t>
            </w:r>
          </w:p>
          <w:p>
            <w:pPr>
              <w:pStyle w:val="null3"/>
              <w:jc w:val="both"/>
            </w:pPr>
            <w:r>
              <w:rPr>
                <w:rFonts w:ascii="仿宋_GB2312" w:hAnsi="仿宋_GB2312" w:cs="仿宋_GB2312" w:eastAsia="仿宋_GB2312"/>
              </w:rPr>
              <w:t xml:space="preserve">    1.人员配置：拟投入项目团队知识构架要全面，团队人员需具有土地、规划、农业、测绘、地理信息等技术能力，同时需全面掌握耕地保护相关政策要求，熟练运用ArcGIS等相关专业软件，技术人员具备随时在线进行技术指导工作的能力。</w:t>
            </w:r>
          </w:p>
          <w:p>
            <w:pPr>
              <w:pStyle w:val="null3"/>
              <w:jc w:val="both"/>
            </w:pPr>
            <w:r>
              <w:rPr>
                <w:rFonts w:ascii="仿宋_GB2312" w:hAnsi="仿宋_GB2312" w:cs="仿宋_GB2312" w:eastAsia="仿宋_GB2312"/>
              </w:rPr>
              <w:t xml:space="preserve">    2.专业设备：具有履行本项目所必需的专业设备和技术能力。</w:t>
            </w:r>
          </w:p>
          <w:p>
            <w:pPr>
              <w:pStyle w:val="null3"/>
              <w:jc w:val="both"/>
            </w:pPr>
            <w:r>
              <w:rPr>
                <w:rFonts w:ascii="仿宋_GB2312" w:hAnsi="仿宋_GB2312" w:cs="仿宋_GB2312" w:eastAsia="仿宋_GB2312"/>
              </w:rPr>
              <w:t xml:space="preserve">    3.服务标准：提交成果符合《永久基本农田保护红线管理办法》《陕西省自然资源厅关于做好重大建设项目占用永久基本农田有关问题的通知》（陕自然资耕发〔2020〕1号）《陕西省自然资源厅陕西省农业农村厅关于建立全省永久基本农田储备库制度及有关工作的通知》（陕自然资发〔2025〕838号）等文件中对耕地和永久基本农田保护工作实施的相关服务标准，确保技术服务成果的科学性、合理性、准确性。</w:t>
            </w:r>
          </w:p>
          <w:p>
            <w:pPr>
              <w:pStyle w:val="null3"/>
              <w:jc w:val="both"/>
            </w:pPr>
            <w:r>
              <w:rPr>
                <w:rFonts w:ascii="仿宋_GB2312" w:hAnsi="仿宋_GB2312" w:cs="仿宋_GB2312" w:eastAsia="仿宋_GB2312"/>
              </w:rPr>
              <w:t xml:space="preserve">    五、商务要求</w:t>
            </w:r>
          </w:p>
          <w:p>
            <w:pPr>
              <w:pStyle w:val="null3"/>
              <w:jc w:val="both"/>
            </w:pPr>
            <w:r>
              <w:rPr>
                <w:rFonts w:ascii="仿宋_GB2312" w:hAnsi="仿宋_GB2312" w:cs="仿宋_GB2312" w:eastAsia="仿宋_GB2312"/>
              </w:rPr>
              <w:t xml:space="preserve">    （</w:t>
            </w:r>
            <w:r>
              <w:rPr>
                <w:rFonts w:ascii="仿宋_GB2312" w:hAnsi="仿宋_GB2312" w:cs="仿宋_GB2312" w:eastAsia="仿宋_GB2312"/>
              </w:rPr>
              <w:t>1）服务期限：自合同签订之日起至2026年12月15日止。</w:t>
            </w:r>
          </w:p>
          <w:p>
            <w:pPr>
              <w:pStyle w:val="null3"/>
              <w:jc w:val="both"/>
            </w:pPr>
            <w:r>
              <w:rPr>
                <w:rFonts w:ascii="仿宋_GB2312" w:hAnsi="仿宋_GB2312" w:cs="仿宋_GB2312" w:eastAsia="仿宋_GB2312"/>
              </w:rPr>
              <w:t xml:space="preserve">    （</w:t>
            </w:r>
            <w:r>
              <w:rPr>
                <w:rFonts w:ascii="仿宋_GB2312" w:hAnsi="仿宋_GB2312" w:cs="仿宋_GB2312" w:eastAsia="仿宋_GB2312"/>
              </w:rPr>
              <w:t>2）款项结算分两次付款，合同签订后一个月内支付合同总价款的40%；2026年所有工作任务完成后20个工作日内支付剩余的60%。</w:t>
            </w:r>
          </w:p>
          <w:p>
            <w:pPr>
              <w:pStyle w:val="null3"/>
              <w:jc w:val="both"/>
            </w:pPr>
            <w:r>
              <w:rPr>
                <w:rFonts w:ascii="仿宋_GB2312" w:hAnsi="仿宋_GB2312" w:cs="仿宋_GB2312" w:eastAsia="仿宋_GB2312"/>
              </w:rPr>
              <w:t xml:space="preserve">    六、其他</w:t>
            </w:r>
          </w:p>
          <w:p>
            <w:pPr>
              <w:pStyle w:val="null3"/>
              <w:jc w:val="both"/>
            </w:pPr>
            <w:r>
              <w:rPr>
                <w:rFonts w:ascii="仿宋_GB2312" w:hAnsi="仿宋_GB2312" w:cs="仿宋_GB2312" w:eastAsia="仿宋_GB2312"/>
              </w:rPr>
              <w:t xml:space="preserve">    （一）业绩要求</w:t>
            </w:r>
          </w:p>
          <w:p>
            <w:pPr>
              <w:pStyle w:val="null3"/>
              <w:jc w:val="both"/>
            </w:pPr>
            <w:r>
              <w:rPr>
                <w:rFonts w:ascii="仿宋_GB2312" w:hAnsi="仿宋_GB2312" w:cs="仿宋_GB2312" w:eastAsia="仿宋_GB2312"/>
              </w:rPr>
              <w:t xml:space="preserve">    需具备国土空间规划、国土调查、耕地和永久基本农田核实处置、永久基本农田储备库、耕地和永久基本农田保护等相关业绩。</w:t>
            </w:r>
          </w:p>
          <w:p>
            <w:pPr>
              <w:pStyle w:val="null3"/>
              <w:numPr>
                <w:ilvl w:val="0"/>
                <w:numId w:val="2"/>
              </w:numPr>
              <w:jc w:val="both"/>
            </w:pPr>
            <w:r>
              <w:rPr>
                <w:rFonts w:ascii="仿宋_GB2312" w:hAnsi="仿宋_GB2312" w:cs="仿宋_GB2312" w:eastAsia="仿宋_GB2312"/>
              </w:rPr>
              <w:t>交付成果</w:t>
            </w:r>
          </w:p>
          <w:p>
            <w:pPr>
              <w:pStyle w:val="null3"/>
              <w:jc w:val="both"/>
            </w:pPr>
            <w:r>
              <w:rPr>
                <w:rFonts w:ascii="仿宋_GB2312" w:hAnsi="仿宋_GB2312" w:cs="仿宋_GB2312" w:eastAsia="仿宋_GB2312"/>
              </w:rPr>
              <w:t xml:space="preserve">    1.永久基本农田调整审查</w:t>
            </w:r>
          </w:p>
          <w:p>
            <w:pPr>
              <w:pStyle w:val="null3"/>
              <w:jc w:val="both"/>
            </w:pPr>
            <w:r>
              <w:rPr>
                <w:rFonts w:ascii="仿宋_GB2312" w:hAnsi="仿宋_GB2312" w:cs="仿宋_GB2312" w:eastAsia="仿宋_GB2312"/>
              </w:rPr>
              <w:t xml:space="preserve">    (1)文本成果:西安市永久基本农田调整审核记录</w:t>
            </w:r>
          </w:p>
          <w:p>
            <w:pPr>
              <w:pStyle w:val="null3"/>
              <w:jc w:val="both"/>
            </w:pPr>
            <w:r>
              <w:rPr>
                <w:rFonts w:ascii="仿宋_GB2312" w:hAnsi="仿宋_GB2312" w:cs="仿宋_GB2312" w:eastAsia="仿宋_GB2312"/>
              </w:rPr>
              <w:t xml:space="preserve">    (2)表格成果:西安市永久基本农田调整情况表</w:t>
            </w:r>
          </w:p>
          <w:p>
            <w:pPr>
              <w:pStyle w:val="null3"/>
              <w:jc w:val="both"/>
            </w:pPr>
            <w:r>
              <w:rPr>
                <w:rFonts w:ascii="仿宋_GB2312" w:hAnsi="仿宋_GB2312" w:cs="仿宋_GB2312" w:eastAsia="仿宋_GB2312"/>
              </w:rPr>
              <w:t xml:space="preserve">    (3)数据库成果:西安市永久基本农田调整数据库</w:t>
            </w:r>
          </w:p>
          <w:p>
            <w:pPr>
              <w:pStyle w:val="null3"/>
              <w:jc w:val="both"/>
            </w:pPr>
            <w:r>
              <w:rPr>
                <w:rFonts w:ascii="仿宋_GB2312" w:hAnsi="仿宋_GB2312" w:cs="仿宋_GB2312" w:eastAsia="仿宋_GB2312"/>
              </w:rPr>
              <w:t xml:space="preserve">    2.耕地和永久基本农田日常动态变化分析</w:t>
            </w:r>
          </w:p>
          <w:p>
            <w:pPr>
              <w:pStyle w:val="null3"/>
              <w:jc w:val="both"/>
            </w:pPr>
            <w:r>
              <w:rPr>
                <w:rFonts w:ascii="仿宋_GB2312" w:hAnsi="仿宋_GB2312" w:cs="仿宋_GB2312" w:eastAsia="仿宋_GB2312"/>
              </w:rPr>
              <w:t xml:space="preserve">    (1)表格成果:耕地和永久基本农田各类变化情况、耕地流入流出变化情况表等各类动态分析表格</w:t>
            </w:r>
          </w:p>
          <w:p>
            <w:pPr>
              <w:pStyle w:val="null3"/>
              <w:jc w:val="both"/>
            </w:pPr>
            <w:r>
              <w:rPr>
                <w:rFonts w:ascii="仿宋_GB2312" w:hAnsi="仿宋_GB2312" w:cs="仿宋_GB2312" w:eastAsia="仿宋_GB2312"/>
              </w:rPr>
              <w:t xml:space="preserve">    (2)图件成果:西安市各区县耕地和永久基本农田保护图集</w:t>
            </w:r>
          </w:p>
          <w:p>
            <w:pPr>
              <w:pStyle w:val="null3"/>
              <w:jc w:val="both"/>
            </w:pPr>
            <w:r>
              <w:rPr>
                <w:rFonts w:ascii="仿宋_GB2312" w:hAnsi="仿宋_GB2312" w:cs="仿宋_GB2312" w:eastAsia="仿宋_GB2312"/>
              </w:rPr>
              <w:t xml:space="preserve">    3.永久基本农田储备库年度更新</w:t>
            </w:r>
          </w:p>
          <w:p>
            <w:pPr>
              <w:pStyle w:val="null3"/>
              <w:jc w:val="both"/>
            </w:pPr>
            <w:r>
              <w:rPr>
                <w:rFonts w:ascii="仿宋_GB2312" w:hAnsi="仿宋_GB2312" w:cs="仿宋_GB2312" w:eastAsia="仿宋_GB2312"/>
              </w:rPr>
              <w:t xml:space="preserve">    (1)表格成果:西安市永久基本农田储备库统计表</w:t>
            </w:r>
          </w:p>
          <w:p>
            <w:pPr>
              <w:pStyle w:val="null3"/>
              <w:jc w:val="both"/>
            </w:pPr>
            <w:r>
              <w:rPr>
                <w:rFonts w:ascii="仿宋_GB2312" w:hAnsi="仿宋_GB2312" w:cs="仿宋_GB2312" w:eastAsia="仿宋_GB2312"/>
              </w:rPr>
              <w:t xml:space="preserve">    (2)图件成果:西安市永久基本农田储备库分布图</w:t>
            </w:r>
          </w:p>
          <w:p>
            <w:pPr>
              <w:pStyle w:val="null3"/>
              <w:jc w:val="both"/>
            </w:pPr>
            <w:r>
              <w:rPr>
                <w:rFonts w:ascii="仿宋_GB2312" w:hAnsi="仿宋_GB2312" w:cs="仿宋_GB2312" w:eastAsia="仿宋_GB2312"/>
              </w:rPr>
              <w:t xml:space="preserve">    (3)数据库成果:西安市永久基本农田储备库数据库</w:t>
            </w:r>
          </w:p>
          <w:p>
            <w:pPr>
              <w:pStyle w:val="null3"/>
              <w:jc w:val="both"/>
            </w:pPr>
            <w:r>
              <w:rPr>
                <w:rFonts w:ascii="仿宋_GB2312" w:hAnsi="仿宋_GB2312" w:cs="仿宋_GB2312" w:eastAsia="仿宋_GB2312"/>
              </w:rPr>
              <w:t xml:space="preserve">    4.耕地资源潜力分析</w:t>
            </w:r>
          </w:p>
          <w:p>
            <w:pPr>
              <w:pStyle w:val="null3"/>
              <w:jc w:val="both"/>
            </w:pPr>
            <w:r>
              <w:rPr>
                <w:rFonts w:ascii="仿宋_GB2312" w:hAnsi="仿宋_GB2312" w:cs="仿宋_GB2312" w:eastAsia="仿宋_GB2312"/>
              </w:rPr>
              <w:t xml:space="preserve">    (1)文本成果:耕地资源（耕地保护空间、耕地补充空间）核实分析报告</w:t>
            </w:r>
          </w:p>
          <w:p>
            <w:pPr>
              <w:pStyle w:val="null3"/>
              <w:jc w:val="both"/>
            </w:pPr>
            <w:r>
              <w:rPr>
                <w:rFonts w:ascii="仿宋_GB2312" w:hAnsi="仿宋_GB2312" w:cs="仿宋_GB2312" w:eastAsia="仿宋_GB2312"/>
              </w:rPr>
              <w:t xml:space="preserve">    (2)表格成果:西安市耕地资源（耕地保护空间、耕地补充空间）统计表</w:t>
            </w:r>
          </w:p>
          <w:p>
            <w:pPr>
              <w:pStyle w:val="null3"/>
              <w:jc w:val="both"/>
            </w:pPr>
            <w:r>
              <w:rPr>
                <w:rFonts w:ascii="仿宋_GB2312" w:hAnsi="仿宋_GB2312" w:cs="仿宋_GB2312" w:eastAsia="仿宋_GB2312"/>
              </w:rPr>
              <w:t xml:space="preserve">    (3)图件成果:西安市耕地资源（耕地保护空间、耕地补充空间）分布图</w:t>
            </w:r>
          </w:p>
          <w:p>
            <w:pPr>
              <w:pStyle w:val="null3"/>
              <w:jc w:val="both"/>
            </w:pPr>
            <w:r>
              <w:rPr>
                <w:rFonts w:ascii="仿宋_GB2312" w:hAnsi="仿宋_GB2312" w:cs="仿宋_GB2312" w:eastAsia="仿宋_GB2312"/>
              </w:rPr>
              <w:t xml:space="preserve">    (4)数据库成果:西安市耕地资源（耕地保护空间、耕地补充空间）数据库</w:t>
            </w:r>
          </w:p>
          <w:p>
            <w:pPr>
              <w:pStyle w:val="null3"/>
              <w:jc w:val="both"/>
            </w:pPr>
            <w:r>
              <w:rPr>
                <w:rFonts w:ascii="仿宋_GB2312" w:hAnsi="仿宋_GB2312" w:cs="仿宋_GB2312" w:eastAsia="仿宋_GB2312"/>
              </w:rPr>
              <w:t xml:space="preserve">    （三）质量验收标准或规范由采购人组织对项目成果进行验收，验收内容包括质量是否符合部、省、市相关工作要求，是否在规定时间内完成服务内容等。</w:t>
            </w:r>
          </w:p>
          <w:p>
            <w:pPr>
              <w:pStyle w:val="null3"/>
              <w:jc w:val="both"/>
            </w:pPr>
            <w:r>
              <w:rPr>
                <w:rFonts w:ascii="仿宋_GB2312" w:hAnsi="仿宋_GB2312" w:cs="仿宋_GB2312" w:eastAsia="仿宋_GB2312"/>
              </w:rPr>
              <w:t xml:space="preserve">    （四）违约责任</w:t>
            </w:r>
          </w:p>
          <w:p>
            <w:pPr>
              <w:pStyle w:val="null3"/>
            </w:pPr>
            <w:r>
              <w:rPr>
                <w:rFonts w:ascii="仿宋_GB2312" w:hAnsi="仿宋_GB2312" w:cs="仿宋_GB2312" w:eastAsia="仿宋_GB2312"/>
                <w:sz w:val="21"/>
              </w:rPr>
              <w:t xml:space="preserve">    若未能按本合同约定的服务期限完成并交付合格项目成果，每逾期一日，应向甲方支付合同总金额</w:t>
            </w:r>
            <w:r>
              <w:rPr>
                <w:rFonts w:ascii="仿宋_GB2312" w:hAnsi="仿宋_GB2312" w:cs="仿宋_GB2312" w:eastAsia="仿宋_GB2312"/>
                <w:sz w:val="21"/>
              </w:rPr>
              <w:t>1%的违约金，逾期超过10日的，甲方有权单方解除合同，乙方除支付违约金外，还应返还甲方已支付的全部款项，并赔偿因此给甲方造成的全部损失。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项目团队知识构架要全面，团队人员需具有土地、规划、农业、测绘、地理信息等技术能力，同时需全面掌握耕地保护相关政策要求，熟练运用ArcGIS等相关专业软件，技术人员具备随时在线进行技术指导工作的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具有履行本项目所必需的专业设备和技术能力。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·交付成果 1.永久基本农田调整审查 (1)文本成果:西安市永久基本农田调整审核记录 (2)表格成果:西安市永久基本农田调整情况表 (3)数据库成果:西安市永久基本农田调整数据库 2.耕地和永久基本农田日常动态变化分析 (1)表格成果:耕地和永久基本农田各类变化情况、耕地流入流出变化情况表等各类动态分析表格 (2)图件成果:西安市各区县耕地和永久基本农田保护图集 3.永久基本农田储备库年度更新 (1)表格成果:西安市永久基本农田储备库统计表 (2)图件成果:西安市永久基本农田储备库分布图 (3)数据库成果:西安市永久基本农田储备库数据库 4.耕地资源潜力分析 (1)文本成果:耕地资源（耕地保护空间、耕地补充空间）核实分析报告 (2)表格成果:西安市耕地资源（耕地保护空间、耕地补充空间）统计表 (3)图件成果:西安市耕地资源（耕地保护空间、耕地补充空间）分布图 (4)数据库成果:西安市耕地资源（耕地保护空间、耕地补充空间）数据库 ·质量验收标准或规范由采购人组织对项目成果进行验收，验收内容包括质量是否符合部、省、市相关工作要求，是否在规定时间内完成服务内容等。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由采购人组织对项目成果进行验收，验收内容包括质量是否符合部、省、市相关工作要求，是否在规定时间内完成服务内容等。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预付款，自本合同签订后，达到付款条件起30日内，支付合同总金额的40.00%。，达到付款条件起30个工作日内，支付合同总金额的40.0%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进度款，2026年所有工作任务完成后，达到付款条件起20日内，支付合同总金额的60.00%。，达到付款条件起20个工作日内，支付合同总金额的60.0%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未能按本合同约定的服务期限完成并交付合格项目成果，每逾期一日，应向甲方支付合同总金额1%的违约金，逾期超过10日的，甲方有权单方解除合同，乙方除支付违约金外，还应返还甲方已支付的全部款项，并赔偿因此给甲方造成的全部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投标人是法人或其他组织的应提供营业执照等证明文件，投标人是自然人的应提供有效的自然人身份证明（提供加盖单位公章附在投标文件中）</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投标供应商需具有行业主管部门颁发的土地规划乙级及以上资质（含乙级）；</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类似业绩</w:t>
            </w:r>
          </w:p>
        </w:tc>
        <w:tc>
          <w:tcPr>
            <w:tcW w:type="dxa" w:w="3322"/>
          </w:tcPr>
          <w:p>
            <w:pPr>
              <w:pStyle w:val="null3"/>
            </w:pPr>
            <w:r>
              <w:rPr>
                <w:rFonts w:ascii="仿宋_GB2312" w:hAnsi="仿宋_GB2312" w:cs="仿宋_GB2312" w:eastAsia="仿宋_GB2312"/>
              </w:rPr>
              <w:t>具有近3年内类似业绩或类似经验，（类似业绩：供应商需提供加盖单位公章的合同扫描件，类似经验：供应商需提供加盖单位公章的相关证明资料）；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本项目不接受联合体磋商，单位负责人为同一人或者存在直接控股、管理关系的不同供应商，不得参加同一合同项下的政府采购活动（提供书面声明）。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未超过最高限价，无选择性报价，否则按无效报价处理。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磋商响应文件中项目名称、项目编号与本项目一致，按照竞争性磋商文件要求签字、盖章，无遗漏。 “竞争性磋商响应文件格式”中凡注明“签字和盖章”处，供应商必须既手写签字又盖章；“竞争性磋商响应文件格式”中凡注明“签字或盖章”处，供应商实施一项内容即可；竞争性磋商响应文件中所附的相关材料的复印件，也须加盖供应商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完全响应，且不能有采购人不能接受的附加条件。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供应商资格证明文件.docx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项目背景及服务内容分析</w:t>
            </w:r>
          </w:p>
        </w:tc>
        <w:tc>
          <w:tcPr>
            <w:tcW w:type="dxa" w:w="2492"/>
          </w:tcPr>
          <w:p>
            <w:pPr>
              <w:pStyle w:val="null3"/>
            </w:pPr>
            <w:r>
              <w:rPr>
                <w:rFonts w:ascii="仿宋_GB2312" w:hAnsi="仿宋_GB2312" w:cs="仿宋_GB2312" w:eastAsia="仿宋_GB2312"/>
              </w:rPr>
              <w:t>内容至少包括①项目背景及相关政策解读；②服务内容分析及目标③专业资料搜集与整理。评审标准：1、完整性：内容全面，对评审内容中的各项要求有详细描述。2、针对性：内容能够紧扣项目实际情况，内容科学合理。3、可实施性：切合本项目实际情况，提出步骤清晰、合理的内容。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永久基本农田调整审查;②耕地和永久基本农田日常动态变化分析;③永久基本农田储备库年度更新；④耕地资源潜力分析。评审标准：1、完整性：内容全面，对评审内容中的各项要求有详细描述。2、针对性：内容能够紧扣项目实际情况，内容科学合理。3、可实施性：切合本项目实际情况，提出步骤清晰、合理的内容。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安全、保密管 理方案</w:t>
            </w:r>
          </w:p>
        </w:tc>
        <w:tc>
          <w:tcPr>
            <w:tcW w:type="dxa" w:w="2492"/>
          </w:tcPr>
          <w:p>
            <w:pPr>
              <w:pStyle w:val="null3"/>
            </w:pPr>
            <w:r>
              <w:rPr>
                <w:rFonts w:ascii="仿宋_GB2312" w:hAnsi="仿宋_GB2312" w:cs="仿宋_GB2312" w:eastAsia="仿宋_GB2312"/>
              </w:rPr>
              <w:t>内容至少包括①安全管理方案②保密管理方案。评审标准：1、完整性：内容全面，对评审内容中的各项要求有详细描述。2、针对性：内容能够紧扣项目实际情况，内容科学合理。3、可实施性：切合本项目实际情况，提出步骤清晰、合理的内容。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内容至少包括于①设备种类及设备数量②使用计划；评审标准：1、完整性：内容全面，对评审内容中的各项要求有详细描述。2、针对性：内容能够紧扣项目实际情况，内容科学合理。3、可实施性：切合本项目实际情况，提出步骤清晰、合理的内容。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内容至少包括①提供合理的工作计划及时间节点；②具体工作进度的保障措施；③突发状况的应急预案。评审标准：1、完整性：内容全面，对评审内容中的各项要求有详细描述。2、针对性：内容能够紧扣项目实际情况，内容科学合理。3、可实施性：切合本项目实际情况，提出步骤清晰、合理的内容。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项目负责人同时具有国土规划类相关专业高级职称的得3分，不满足的不得分。（需提供身份证、毕业证、职称证等复印件或扫描件，并提供在本单位任职的证明材料）。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拟配备团队人员</w:t>
            </w:r>
          </w:p>
        </w:tc>
        <w:tc>
          <w:tcPr>
            <w:tcW w:type="dxa" w:w="2492"/>
          </w:tcPr>
          <w:p>
            <w:pPr>
              <w:pStyle w:val="null3"/>
            </w:pPr>
            <w:r>
              <w:rPr>
                <w:rFonts w:ascii="仿宋_GB2312" w:hAnsi="仿宋_GB2312" w:cs="仿宋_GB2312" w:eastAsia="仿宋_GB2312"/>
              </w:rPr>
              <w:t>项目组人员配置及分工合理，拟派本项目组人员中（不含项目负责人）具有国土规划类相关专业高级职称的，每提供一个得2分，共4分；具有土地、规划、农业、测绘、地理信息等专业中级及以上工程师职称的，每提供1个得1分，共8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内容至少包括①工作标准：具有岗位工作标准、服务质量准；②内控制度：问责机制、监督机制、自查机制。评审标准：1、完整性：内容全面，对评审内容中的各项要求有详细描述。2、针对性：内容能够紧扣项目实际情况，内容科学合理。3、可实施性：切合本项目实际情况，提出步骤清晰、合理的内容。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内容至少包括①服务质量目标分析；②针对本项目质量管理制度及内部管控流程。评审标准：1、完整性：内容全面，对评审内容中的各项要求有详细描述。2、针对性：内容能够紧扣项目实际情况，内容科学合理。3、可实施性：切合本项目实际情况，提出步骤清晰、合理的内容。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对于一般技术问题能当时解决、对于重要技术问题和关键性技术问题能及时给予解决，能提供现场技术咨询服务等内容，得2分，无承诺不得分；②廉洁从业的承诺，得2分，无承诺不得分；③未能完全履行承诺时的相关处罚承诺等，得2分，无承诺不得分。 每项承诺需详细、具体，可行性强，未满足不得分。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至今需具备国土空间规划、国土调查、耕地和永久基本农田核实处置、永久基本农田储备库、耕地和永久基本农田保护等相关业绩。每提供一份得2分，满分10分，未提供不得分。业绩证明（以合同或中标通知书为准，须在投标文件中附合同或中标通知书的扫描件或复印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满足采购文件内容及技术要求且投标总报价最低的投标价为评标基准价，其价格分为满分。投标报价得分=（评标基准价／投标报价）×15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