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版本号：ZYHY-2026-ZB1020260421001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蒲城县漫泉广场小型体育公园建设项目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ZYHY-2026-ZB10</w:t>
      </w:r>
      <w:r>
        <w:br/>
      </w:r>
      <w:r>
        <w:br/>
      </w:r>
      <w:r>
        <w:br/>
      </w:r>
    </w:p>
    <w:p>
      <w:pPr>
        <w:pStyle w:val="null3"/>
        <w:jc w:val="center"/>
        <w:outlineLvl w:val="2"/>
      </w:pPr>
      <w:r>
        <w:rPr>
          <w:rFonts w:ascii="仿宋_GB2312" w:hAnsi="仿宋_GB2312" w:cs="仿宋_GB2312" w:eastAsia="仿宋_GB2312"/>
          <w:sz w:val="28"/>
          <w:b/>
        </w:rPr>
        <w:t>蒲城县体育运动中心</w:t>
      </w:r>
    </w:p>
    <w:p>
      <w:pPr>
        <w:pStyle w:val="null3"/>
        <w:jc w:val="center"/>
        <w:outlineLvl w:val="2"/>
      </w:pPr>
      <w:r>
        <w:rPr>
          <w:rFonts w:ascii="仿宋_GB2312" w:hAnsi="仿宋_GB2312" w:cs="仿宋_GB2312" w:eastAsia="仿宋_GB2312"/>
          <w:sz w:val="28"/>
          <w:b/>
        </w:rPr>
        <w:t>陕西中裕恒越项目管理有限公司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陕西中裕恒越项目管理有限公司</w:t>
      </w:r>
      <w:r>
        <w:rPr>
          <w:rFonts w:ascii="仿宋_GB2312" w:hAnsi="仿宋_GB2312" w:cs="仿宋_GB2312" w:eastAsia="仿宋_GB2312"/>
        </w:rPr>
        <w:t>（以下简称“代理机构”）受</w:t>
      </w:r>
      <w:r>
        <w:rPr>
          <w:rFonts w:ascii="仿宋_GB2312" w:hAnsi="仿宋_GB2312" w:cs="仿宋_GB2312" w:eastAsia="仿宋_GB2312"/>
        </w:rPr>
        <w:t>蒲城县体育运动中心</w:t>
      </w:r>
      <w:r>
        <w:rPr>
          <w:rFonts w:ascii="仿宋_GB2312" w:hAnsi="仿宋_GB2312" w:cs="仿宋_GB2312" w:eastAsia="仿宋_GB2312"/>
        </w:rPr>
        <w:t>委托，拟对</w:t>
      </w:r>
      <w:r>
        <w:rPr>
          <w:rFonts w:ascii="仿宋_GB2312" w:hAnsi="仿宋_GB2312" w:cs="仿宋_GB2312" w:eastAsia="仿宋_GB2312"/>
        </w:rPr>
        <w:t>蒲城县漫泉广场小型体育公园建设项目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ZYHY-2026-ZB10</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蒲城县漫泉广场小型体育公园建设项目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健身器材、运动球场器材、体育围网、体育照明、儿童游乐设施的安装；拼装地板、EPDM地面、健身步道等配套的铺设。 新装 肩关节联动器、脚踏背部按摩器联动器等18件；室外乒乓球桌6张、体育围网390平方米、休闲草坪200平方米、移动式排羽网三用架2套；休闲桌椅17套、休闲椅28套、象棋桌4套、儿童游乐设施1套、路灯6套、投光灯8盏；配套铺设拼装地板866平方米、EDPM地面1120平方米、健身步道750平方米。</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采购包1（蒲城县漫泉广场小型体育公园建设项目）：属于专门面向中小企业采购。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1、营业执照：具有独立承担民事责任能力的法人或其他组织，提供有效存续的营业执照或事业单位法人证书或非企业专业服务机构执业许可证或民办非企业单位登记证书或自然人的身份证明；</w:t>
      </w:r>
    </w:p>
    <w:p>
      <w:pPr>
        <w:pStyle w:val="null3"/>
      </w:pPr>
      <w:r>
        <w:rPr>
          <w:rFonts w:ascii="仿宋_GB2312" w:hAnsi="仿宋_GB2312" w:cs="仿宋_GB2312" w:eastAsia="仿宋_GB2312"/>
        </w:rPr>
        <w:t>2、法定代表人授权委托书：提供法定代表人授权书（附法定代表人、被授权人身份证复印件）,法定代表人直接参加投标，须提供法定代表人身份证明及身份证复印件；</w:t>
      </w:r>
    </w:p>
    <w:p>
      <w:pPr>
        <w:pStyle w:val="null3"/>
      </w:pPr>
      <w:r>
        <w:rPr>
          <w:rFonts w:ascii="仿宋_GB2312" w:hAnsi="仿宋_GB2312" w:cs="仿宋_GB2312" w:eastAsia="仿宋_GB2312"/>
        </w:rPr>
        <w:t>3、企业资质：供应商须具备行业主管部门颁发的市政公用工程施工总承包三级及以上资质并具有有效的安全生产许可证；</w:t>
      </w:r>
    </w:p>
    <w:p>
      <w:pPr>
        <w:pStyle w:val="null3"/>
      </w:pPr>
      <w:r>
        <w:rPr>
          <w:rFonts w:ascii="仿宋_GB2312" w:hAnsi="仿宋_GB2312" w:cs="仿宋_GB2312" w:eastAsia="仿宋_GB2312"/>
        </w:rPr>
        <w:t>4、项目经理：供应商拟派项目经理须具备行业主管部门颁发的市政公用工程专业二级及以上建造师资质及有效的安全生产考核合格证书（建安B证），在本单位注册且无在建工程；</w:t>
      </w:r>
    </w:p>
    <w:p>
      <w:pPr>
        <w:pStyle w:val="null3"/>
      </w:pPr>
      <w:r>
        <w:rPr>
          <w:rFonts w:ascii="仿宋_GB2312" w:hAnsi="仿宋_GB2312" w:cs="仿宋_GB2312" w:eastAsia="仿宋_GB2312"/>
        </w:rPr>
        <w:t>5、税收缴纳证明：提供磋商截止日前六个月内至少一个月的纳税证明或完税证明，依法免税的单位应提供相关证明材料；</w:t>
      </w:r>
    </w:p>
    <w:p>
      <w:pPr>
        <w:pStyle w:val="null3"/>
      </w:pPr>
      <w:r>
        <w:rPr>
          <w:rFonts w:ascii="仿宋_GB2312" w:hAnsi="仿宋_GB2312" w:cs="仿宋_GB2312" w:eastAsia="仿宋_GB2312"/>
        </w:rPr>
        <w:t>6、财务状况报告：提供经审计的2024年度完整的财务报告（成立时间至提交响应文件截止时间不足一年的可提供成立后任意时段的资产负债表）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w:t>
      </w:r>
    </w:p>
    <w:p>
      <w:pPr>
        <w:pStyle w:val="null3"/>
      </w:pPr>
      <w:r>
        <w:rPr>
          <w:rFonts w:ascii="仿宋_GB2312" w:hAnsi="仿宋_GB2312" w:cs="仿宋_GB2312" w:eastAsia="仿宋_GB2312"/>
        </w:rPr>
        <w:t>7、社会保障资金缴纳证明：提供磋商截止日前六个月内至少一个月的社会保障资金缴存单据或社保机构开具的社会保险参保缴费情况证明，依法不需要缴纳社会保障资金的单位应提供相关证明材料；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8、信用记录查询：供应商在①“信用中国 ”（www.creditchina.gov.cn）网站上未被列入重大税收违法案件当事人名单；②“ 中国执行信息公开网 ”（http://zxgk.court.gov.cn/shixin/）网站上未被列入失信被执行人名单； ③“ 中国政府采购网（www.ccgp.gov.cn） ”上未被列入政府采购严重违法失信行为记录名单；</w:t>
      </w:r>
    </w:p>
    <w:p>
      <w:pPr>
        <w:pStyle w:val="null3"/>
      </w:pPr>
      <w:r>
        <w:rPr>
          <w:rFonts w:ascii="仿宋_GB2312" w:hAnsi="仿宋_GB2312" w:cs="仿宋_GB2312" w:eastAsia="仿宋_GB2312"/>
        </w:rPr>
        <w:t>9、说明及承诺书：供应商须提供具有履行合同所必需的设备和专业技术能力的承诺；</w:t>
      </w:r>
    </w:p>
    <w:p>
      <w:pPr>
        <w:pStyle w:val="null3"/>
      </w:pPr>
      <w:r>
        <w:rPr>
          <w:rFonts w:ascii="仿宋_GB2312" w:hAnsi="仿宋_GB2312" w:cs="仿宋_GB2312" w:eastAsia="仿宋_GB2312"/>
        </w:rPr>
        <w:t>10、书面声明：出具参加本次政府采购活动前三年内在经营活动中没有重大违法记录的书面声明；</w:t>
      </w:r>
    </w:p>
    <w:p>
      <w:pPr>
        <w:pStyle w:val="null3"/>
      </w:pPr>
      <w:r>
        <w:rPr>
          <w:rFonts w:ascii="仿宋_GB2312" w:hAnsi="仿宋_GB2312" w:cs="仿宋_GB2312" w:eastAsia="仿宋_GB2312"/>
        </w:rPr>
        <w:t>11、本项目不接受联合体磋商：：本项目不接受联合体磋商（提供书面声明材料）；</w:t>
      </w:r>
    </w:p>
    <w:p>
      <w:pPr>
        <w:pStyle w:val="null3"/>
      </w:pPr>
      <w:r>
        <w:rPr>
          <w:rFonts w:ascii="仿宋_GB2312" w:hAnsi="仿宋_GB2312" w:cs="仿宋_GB2312" w:eastAsia="仿宋_GB2312"/>
        </w:rPr>
        <w:t>12、本项目专门面向中小企业：提供中小企业声明函并加盖公章</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蒲城县体育运动中心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蒲城县奉先街道朝阳街体育场内</w:t>
      </w:r>
    </w:p>
    <w:p>
      <w:pPr>
        <w:pStyle w:val="null3"/>
      </w:pPr>
      <w:r>
        <w:rPr>
          <w:rFonts w:ascii="仿宋_GB2312" w:hAnsi="仿宋_GB2312" w:cs="仿宋_GB2312" w:eastAsia="仿宋_GB2312"/>
        </w:rPr>
        <w:t xml:space="preserve"> 邮编： </w:t>
      </w:r>
      <w:r>
        <w:rPr>
          <w:rFonts w:ascii="仿宋_GB2312" w:hAnsi="仿宋_GB2312" w:cs="仿宋_GB2312" w:eastAsia="仿宋_GB2312"/>
        </w:rPr>
        <w:t>715500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赵康</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15877680385</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陕西中裕恒越项目管理有限公司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陕西省西安市新城区陕西省西安市新城区长缨西路1号万和城3号楼807室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薛工</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18992991575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蒲城县政府采购管理股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惠娜娜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13892323567</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开户名称：中国银行股份有限公司西安南郊支行</w:t>
            </w:r>
          </w:p>
          <w:p>
            <w:pPr>
              <w:pStyle w:val="null3"/>
            </w:pPr>
            <w:r>
              <w:rPr>
                <w:rFonts w:ascii="仿宋_GB2312" w:hAnsi="仿宋_GB2312" w:cs="仿宋_GB2312" w:eastAsia="仿宋_GB2312"/>
              </w:rPr>
              <w:t>开户银行：陕西中裕恒越项目管理有限公司</w:t>
            </w:r>
          </w:p>
          <w:p>
            <w:pPr>
              <w:pStyle w:val="null3"/>
            </w:pPr>
            <w:r>
              <w:rPr>
                <w:rFonts w:ascii="仿宋_GB2312" w:hAnsi="仿宋_GB2312" w:cs="仿宋_GB2312" w:eastAsia="仿宋_GB2312"/>
              </w:rPr>
              <w:t>银行账号：102892787177</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展和改革委员会办公厅颁发的《关于招标代理服务收费有关问题的通知》（发改办价格[2003]857号） 服务费缴纳账户：（基本户转入） 账户名称：陕西中裕恒越项目管理有限公司 开户银行：中国银行股份有限公司西安南郊支行 账 号：1028 9278 7177</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蒲城县体育运动中心</w:t>
      </w:r>
      <w:r>
        <w:rPr>
          <w:rFonts w:ascii="仿宋_GB2312" w:hAnsi="仿宋_GB2312" w:cs="仿宋_GB2312" w:eastAsia="仿宋_GB2312"/>
        </w:rPr>
        <w:t>和</w:t>
      </w:r>
      <w:r>
        <w:rPr>
          <w:rFonts w:ascii="仿宋_GB2312" w:hAnsi="仿宋_GB2312" w:cs="仿宋_GB2312" w:eastAsia="仿宋_GB2312"/>
        </w:rPr>
        <w:t>陕西中裕恒越项目管理有限公司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蒲城县体育运动中心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陕西中裕恒越项目管理有限公司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蒲城县体育运动中心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陕西中裕恒越项目管理有限公司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符合招标文件及行业质量标准和招标人要求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陕西中裕恒越项目管理有限公司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陕西中裕恒越项目管理有限公司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陕西中裕恒越项目管理有限公司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联系人：薛工</w:t>
      </w:r>
    </w:p>
    <w:p>
      <w:pPr>
        <w:pStyle w:val="null3"/>
      </w:pPr>
      <w:r>
        <w:rPr>
          <w:rFonts w:ascii="仿宋_GB2312" w:hAnsi="仿宋_GB2312" w:cs="仿宋_GB2312" w:eastAsia="仿宋_GB2312"/>
        </w:rPr>
        <w:t>联系电话：18992991575</w:t>
      </w:r>
    </w:p>
    <w:p>
      <w:pPr>
        <w:pStyle w:val="null3"/>
      </w:pPr>
      <w:r>
        <w:rPr>
          <w:rFonts w:ascii="仿宋_GB2312" w:hAnsi="仿宋_GB2312" w:cs="仿宋_GB2312" w:eastAsia="仿宋_GB2312"/>
        </w:rPr>
        <w:t>地址：陕西省西安市新城区长缨西路1号万和城3号楼807室</w:t>
      </w:r>
    </w:p>
    <w:p>
      <w:pPr>
        <w:pStyle w:val="null3"/>
      </w:pPr>
      <w:r>
        <w:rPr>
          <w:rFonts w:ascii="仿宋_GB2312" w:hAnsi="仿宋_GB2312" w:cs="仿宋_GB2312" w:eastAsia="仿宋_GB2312"/>
        </w:rPr>
        <w:t>邮编：71000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蒲城县漫泉广场小型体育公园建设项目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2,000,000.00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标的名称：蒲城县漫泉广场小型体育公园建设项目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8"/>
              </w:rPr>
              <w:t xml:space="preserve">  合同履行期限：</w:t>
            </w:r>
            <w:r>
              <w:rPr>
                <w:rFonts w:ascii="仿宋_GB2312" w:hAnsi="仿宋_GB2312" w:cs="仿宋_GB2312" w:eastAsia="仿宋_GB2312"/>
                <w:sz w:val="28"/>
              </w:rPr>
              <w:t>6个月</w:t>
            </w:r>
          </w:p>
          <w:p>
            <w:pPr>
              <w:pStyle w:val="null3"/>
              <w:numPr>
                <w:ilvl w:val="0"/>
                <w:numId w:val="1"/>
              </w:numPr>
              <w:jc w:val="both"/>
            </w:pPr>
            <w:r>
              <w:rPr>
                <w:rFonts w:ascii="仿宋_GB2312" w:hAnsi="仿宋_GB2312" w:cs="仿宋_GB2312" w:eastAsia="仿宋_GB2312"/>
                <w:sz w:val="28"/>
                <w:b/>
              </w:rPr>
              <w:t>投入本项目的预算</w:t>
            </w:r>
            <w:r>
              <w:rPr>
                <w:rFonts w:ascii="仿宋_GB2312" w:hAnsi="仿宋_GB2312" w:cs="仿宋_GB2312" w:eastAsia="仿宋_GB2312"/>
                <w:sz w:val="28"/>
                <w:b/>
              </w:rPr>
              <w:t>：</w:t>
            </w:r>
            <w:r>
              <w:rPr>
                <w:rFonts w:ascii="仿宋_GB2312" w:hAnsi="仿宋_GB2312" w:cs="仿宋_GB2312" w:eastAsia="仿宋_GB2312"/>
                <w:sz w:val="28"/>
              </w:rPr>
              <w:t>2000000.00元</w:t>
            </w:r>
          </w:p>
          <w:p>
            <w:pPr>
              <w:pStyle w:val="null3"/>
              <w:ind w:firstLine="560"/>
              <w:jc w:val="both"/>
            </w:pPr>
            <w:r>
              <w:rPr>
                <w:rFonts w:ascii="仿宋_GB2312" w:hAnsi="仿宋_GB2312" w:cs="仿宋_GB2312" w:eastAsia="仿宋_GB2312"/>
                <w:sz w:val="28"/>
              </w:rPr>
              <w:t>1、</w:t>
            </w:r>
            <w:r>
              <w:rPr>
                <w:rFonts w:ascii="仿宋_GB2312" w:hAnsi="仿宋_GB2312" w:cs="仿宋_GB2312" w:eastAsia="仿宋_GB2312"/>
                <w:sz w:val="28"/>
              </w:rPr>
              <w:t>工期</w:t>
            </w:r>
            <w:r>
              <w:rPr>
                <w:rFonts w:ascii="仿宋_GB2312" w:hAnsi="仿宋_GB2312" w:cs="仿宋_GB2312" w:eastAsia="仿宋_GB2312"/>
                <w:sz w:val="28"/>
              </w:rPr>
              <w:t>：</w:t>
            </w:r>
            <w:r>
              <w:rPr>
                <w:rFonts w:ascii="仿宋_GB2312" w:hAnsi="仿宋_GB2312" w:cs="仿宋_GB2312" w:eastAsia="仿宋_GB2312"/>
                <w:sz w:val="28"/>
              </w:rPr>
              <w:t>6个月</w:t>
            </w:r>
            <w:r>
              <w:rPr>
                <w:rFonts w:ascii="仿宋_GB2312" w:hAnsi="仿宋_GB2312" w:cs="仿宋_GB2312" w:eastAsia="仿宋_GB2312"/>
                <w:sz w:val="28"/>
              </w:rPr>
              <w:t>。</w:t>
            </w:r>
          </w:p>
          <w:p>
            <w:pPr>
              <w:pStyle w:val="null3"/>
              <w:ind w:firstLine="560"/>
              <w:jc w:val="both"/>
            </w:pPr>
            <w:r>
              <w:rPr>
                <w:rFonts w:ascii="仿宋_GB2312" w:hAnsi="仿宋_GB2312" w:cs="仿宋_GB2312" w:eastAsia="仿宋_GB2312"/>
                <w:sz w:val="28"/>
              </w:rPr>
              <w:t>2、质量标准：符合国家省市相关规范要求。</w:t>
            </w:r>
          </w:p>
          <w:p>
            <w:pPr>
              <w:pStyle w:val="null3"/>
              <w:numPr>
                <w:ilvl w:val="0"/>
                <w:numId w:val="1"/>
              </w:numPr>
              <w:jc w:val="both"/>
            </w:pPr>
            <w:r>
              <w:rPr>
                <w:rFonts w:ascii="仿宋_GB2312" w:hAnsi="仿宋_GB2312" w:cs="仿宋_GB2312" w:eastAsia="仿宋_GB2312"/>
                <w:sz w:val="28"/>
                <w:b/>
              </w:rPr>
              <w:t>验收标准</w:t>
            </w:r>
          </w:p>
          <w:p>
            <w:pPr>
              <w:pStyle w:val="null3"/>
              <w:ind w:firstLine="560"/>
              <w:jc w:val="both"/>
            </w:pPr>
            <w:r>
              <w:rPr>
                <w:rFonts w:ascii="仿宋_GB2312" w:hAnsi="仿宋_GB2312" w:cs="仿宋_GB2312" w:eastAsia="仿宋_GB2312"/>
                <w:sz w:val="28"/>
              </w:rPr>
              <w:t>符合</w:t>
            </w:r>
            <w:r>
              <w:rPr>
                <w:rFonts w:ascii="仿宋_GB2312" w:hAnsi="仿宋_GB2312" w:cs="仿宋_GB2312" w:eastAsia="仿宋_GB2312"/>
                <w:sz w:val="28"/>
              </w:rPr>
              <w:t>招标文件</w:t>
            </w:r>
            <w:r>
              <w:rPr>
                <w:rFonts w:ascii="仿宋_GB2312" w:hAnsi="仿宋_GB2312" w:cs="仿宋_GB2312" w:eastAsia="仿宋_GB2312"/>
                <w:sz w:val="28"/>
              </w:rPr>
              <w:t>及行业质量标准和</w:t>
            </w:r>
            <w:r>
              <w:rPr>
                <w:rFonts w:ascii="仿宋_GB2312" w:hAnsi="仿宋_GB2312" w:cs="仿宋_GB2312" w:eastAsia="仿宋_GB2312"/>
                <w:sz w:val="28"/>
              </w:rPr>
              <w:t>招标</w:t>
            </w:r>
            <w:r>
              <w:rPr>
                <w:rFonts w:ascii="仿宋_GB2312" w:hAnsi="仿宋_GB2312" w:cs="仿宋_GB2312" w:eastAsia="仿宋_GB2312"/>
                <w:sz w:val="28"/>
              </w:rPr>
              <w:t>人要求。</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符合国家省市相关规范要求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关于财务会计制度的证明材料｛注：①可提供XXXX或XXXX年度经审计的财务报告（包含审计报告和审计报告中所涉及的财务报表和报表附注），②可提供XXXX或XXXX年度供应商完整的全套财务报表（应当包括资产负债表、利润表、现金流量表、所有者权益变动表、附注），③可提供截至资格预审申请文件提交截止日一年内银行出具的资信证明，④供应商注册时间截至资格预审申请文件提交截止日不足一年的，也可提供在工商管理部门备案的公司章程。不得要求供应商提供证明财务报告中签字签章人或者第三方机构的身份证明、财务报告中数据信息真实性有效性的证明材料。｝ 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具有独立承担民事责任能力的法人或其他组织，提供有效存续的营业执照或事业单位法人证书或非企业专业服务机构执业许可证或民办非企业单位登记证书或自然人的身份证明；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提供法定代表人授权书（附法定代表人、被授权人身份证复印件）,法定代表人直接参加投标，须提供法定代表人身份证明及身份证复印件；</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供应商须具备行业主管部门颁发的市政公用工程施工总承包三级及以上资质并具有有效的安全生产许可证；</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w:t>
            </w:r>
          </w:p>
        </w:tc>
        <w:tc>
          <w:tcPr>
            <w:tcW w:type="dxa" w:w="3322"/>
          </w:tcPr>
          <w:p>
            <w:pPr>
              <w:pStyle w:val="null3"/>
            </w:pPr>
            <w:r>
              <w:rPr>
                <w:rFonts w:ascii="仿宋_GB2312" w:hAnsi="仿宋_GB2312" w:cs="仿宋_GB2312" w:eastAsia="仿宋_GB2312"/>
              </w:rPr>
              <w:t>供应商拟派项目经理须具备行业主管部门颁发的市政公用工程专业二级及以上建造师资质及有效的安全生产考核合格证书（建安B证），在本单位注册且无在建工程；</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提供磋商截止日前六个月内至少一个月的纳税证明或完税证明，依法免税的单位应提供相关证明材料；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经审计的2024年度完整的财务报告（成立时间至提交响应文件截止时间不足一年的可提供成立后任意时段的资产负债表）或在开标日期前六个月内其开户银行出具的资信证明，以上两种形式的资料提供任何一种即可（分支机构如无法提供财务审计报告，须出具包含分支机构的财务数据的总公司财务审计报告）；事业单位零余额账户提供相应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提供磋商截止日前六个月内至少一个月的社会保障资金缴存单据或社保机构开具的社会保险参保缴费情况证明，依法不需要缴纳社会保障资金的单位应提供相关证明材料；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信用记录查询</w:t>
            </w:r>
          </w:p>
        </w:tc>
        <w:tc>
          <w:tcPr>
            <w:tcW w:type="dxa" w:w="3322"/>
          </w:tcPr>
          <w:p>
            <w:pPr>
              <w:pStyle w:val="null3"/>
            </w:pPr>
            <w:r>
              <w:rPr>
                <w:rFonts w:ascii="仿宋_GB2312" w:hAnsi="仿宋_GB2312" w:cs="仿宋_GB2312" w:eastAsia="仿宋_GB2312"/>
              </w:rPr>
              <w:t>供应商在①“信用中国 ”（www.creditchina.gov.cn）网站上未被列入重大税收违法案件当事人名单；②“ 中国执行信息公开网 ”（http://zxgk.court.gov.cn/shixin/）网站上未被列入失信被执行人名单； ③“ 中国政府采购网（www.ccgp.gov.cn） ”上未被列入政府采购严重违法失信行为记录名单；</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说明及承诺书</w:t>
            </w:r>
          </w:p>
        </w:tc>
        <w:tc>
          <w:tcPr>
            <w:tcW w:type="dxa" w:w="3322"/>
          </w:tcPr>
          <w:p>
            <w:pPr>
              <w:pStyle w:val="null3"/>
            </w:pPr>
            <w:r>
              <w:rPr>
                <w:rFonts w:ascii="仿宋_GB2312" w:hAnsi="仿宋_GB2312" w:cs="仿宋_GB2312" w:eastAsia="仿宋_GB2312"/>
              </w:rPr>
              <w:t>供应商须提供具有履行合同所必需的设备和专业技术能力的承诺；</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出具参加本次政府采购活动前三年内在经营活动中没有重大违法记录的书面声明；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本项目不接受联合体磋商：</w:t>
            </w:r>
          </w:p>
        </w:tc>
        <w:tc>
          <w:tcPr>
            <w:tcW w:type="dxa" w:w="3322"/>
          </w:tcPr>
          <w:p>
            <w:pPr>
              <w:pStyle w:val="null3"/>
            </w:pPr>
            <w:r>
              <w:rPr>
                <w:rFonts w:ascii="仿宋_GB2312" w:hAnsi="仿宋_GB2312" w:cs="仿宋_GB2312" w:eastAsia="仿宋_GB2312"/>
              </w:rPr>
              <w:t>本项目不接受联合体磋商（提供书面声明材料）；</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本项目专门面向中小企业</w:t>
            </w:r>
          </w:p>
        </w:tc>
        <w:tc>
          <w:tcPr>
            <w:tcW w:type="dxa" w:w="3322"/>
          </w:tcPr>
          <w:p>
            <w:pPr>
              <w:pStyle w:val="null3"/>
            </w:pPr>
            <w:r>
              <w:rPr>
                <w:rFonts w:ascii="仿宋_GB2312" w:hAnsi="仿宋_GB2312" w:cs="仿宋_GB2312" w:eastAsia="仿宋_GB2312"/>
              </w:rPr>
              <w:t>提供中小企业声明函并加盖公章</w:t>
            </w:r>
          </w:p>
        </w:tc>
        <w:tc>
          <w:tcPr>
            <w:tcW w:type="dxa" w:w="1661"/>
          </w:tcPr>
          <w:p>
            <w:pPr>
              <w:pStyle w:val="null3"/>
            </w:pPr>
            <w:r>
              <w:rPr>
                <w:rFonts w:ascii="仿宋_GB2312" w:hAnsi="仿宋_GB2312" w:cs="仿宋_GB2312" w:eastAsia="仿宋_GB2312"/>
              </w:rPr>
              <w:t>残疾人福利性单位声明函 中小企业声明函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投标响应文件的完整性审查</w:t>
            </w:r>
          </w:p>
        </w:tc>
        <w:tc>
          <w:tcPr>
            <w:tcW w:type="dxa" w:w="3322"/>
          </w:tcPr>
          <w:p>
            <w:pPr>
              <w:pStyle w:val="null3"/>
            </w:pPr>
            <w:r>
              <w:rPr>
                <w:rFonts w:ascii="仿宋_GB2312" w:hAnsi="仿宋_GB2312" w:cs="仿宋_GB2312" w:eastAsia="仿宋_GB2312"/>
              </w:rPr>
              <w:t>1.投标响应文件是否按照招标文件要求的格式编写； 2.投标响应文件内容是否有重大缺漏项。</w:t>
            </w:r>
          </w:p>
        </w:tc>
        <w:tc>
          <w:tcPr>
            <w:tcW w:type="dxa" w:w="1661"/>
          </w:tcPr>
          <w:p>
            <w:pPr>
              <w:pStyle w:val="null3"/>
            </w:pPr>
            <w:r>
              <w:rPr>
                <w:rFonts w:ascii="仿宋_GB2312" w:hAnsi="仿宋_GB2312" w:cs="仿宋_GB2312" w:eastAsia="仿宋_GB2312"/>
              </w:rPr>
              <w:t>已标价工程量清单 中小企业声明函 技术服务合同条款及其他商务要求应答表 供应商应提交的相关资格证明材料 强制优先采购产品承诺函 响应文件封面 项目管理机构组成表 残疾人福利性单位声明函 报价函 标的清单 供应商类似项目业绩一览表 响应函 主要人员简历表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投标响应文件的有效性审查</w:t>
            </w:r>
          </w:p>
        </w:tc>
        <w:tc>
          <w:tcPr>
            <w:tcW w:type="dxa" w:w="3322"/>
          </w:tcPr>
          <w:p>
            <w:pPr>
              <w:pStyle w:val="null3"/>
            </w:pPr>
            <w:r>
              <w:rPr>
                <w:rFonts w:ascii="仿宋_GB2312" w:hAnsi="仿宋_GB2312" w:cs="仿宋_GB2312" w:eastAsia="仿宋_GB2312"/>
              </w:rPr>
              <w:t>1.投标响应文件的签署、加盖印章是否合格、有效； 2.提供的各种证明文件、数据、资料是否真实、有效。</w:t>
            </w:r>
          </w:p>
        </w:tc>
        <w:tc>
          <w:tcPr>
            <w:tcW w:type="dxa" w:w="1661"/>
          </w:tcPr>
          <w:p>
            <w:pPr>
              <w:pStyle w:val="null3"/>
            </w:pPr>
            <w:r>
              <w:rPr>
                <w:rFonts w:ascii="仿宋_GB2312" w:hAnsi="仿宋_GB2312" w:cs="仿宋_GB2312" w:eastAsia="仿宋_GB2312"/>
              </w:rPr>
              <w:t>响应文件封面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投标文件的响应性审查</w:t>
            </w:r>
          </w:p>
        </w:tc>
        <w:tc>
          <w:tcPr>
            <w:tcW w:type="dxa" w:w="3322"/>
          </w:tcPr>
          <w:p>
            <w:pPr>
              <w:pStyle w:val="null3"/>
            </w:pPr>
            <w:r>
              <w:rPr>
                <w:rFonts w:ascii="仿宋_GB2312" w:hAnsi="仿宋_GB2312" w:cs="仿宋_GB2312" w:eastAsia="仿宋_GB2312"/>
              </w:rPr>
              <w:t>1.投标报价是否超过采购预算；2.投标有效期是否符合招标文件的要求。</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 根据供应商针对本项目实际情况编制施工方案。 二、评审标准 1、完整性：须全面，对评审项有详细描述及说明；2、合理性：切合本项目实际情况，实施步骤清晰、合理； 3、针对性：能够紧扣项目实际情况，内容科学合理。 三、赋分标准技术方案内容完全满足所有评审标准得15分；技术方案内容每有一处缺陷扣2分，扣完为止，不计负分；其他或未提供得0分。 缺陷是指: 内容与项目特点不匹配、凭空编造、逻辑漏洞、常识性错误、语句不通顺有歧义、不可能实现的夸大情形、或出现与本项目不符合的方案等其中的任意一种情形。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一、评审内容 根据供应商针对本项目实际情况编制的施工部署 二、评审标准 1.完整性：方案必须全面，对评审内容中的各项要求有详细描述； 2.可实施性：切合本项目实际情况，提出步骤清晰、满足需求的方案。 3.针对性：方案能够紧扣项目实际情况，内容科学合理。 三、赋分标准（满分12分） ①项目管理机构：每满足一个评审标准得1分，满分3分。 ②施工总体思路：每满足一个评审标准得1分，满分3分。 ③重难点工程识别：每满足一个评审标准得1分，满分3分。 ④施工目标（质量、安全、工期、环保）：每满足一个评审标准得1分，满分3分。 备注：满足评审标准是指：内容不能逻辑混乱、描述过于简单、与项目特点不匹配、要求的内容有遗漏、出现常识性错误、存在不适用项目实际情况的情形、只有标题没有实质性内容以及套用挪用别的项目内容等情况。</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安全生产技术组织措施</w:t>
            </w:r>
          </w:p>
        </w:tc>
        <w:tc>
          <w:tcPr>
            <w:tcW w:type="dxa" w:w="2492"/>
          </w:tcPr>
          <w:p>
            <w:pPr>
              <w:pStyle w:val="null3"/>
            </w:pPr>
            <w:r>
              <w:rPr>
                <w:rFonts w:ascii="仿宋_GB2312" w:hAnsi="仿宋_GB2312" w:cs="仿宋_GB2312" w:eastAsia="仿宋_GB2312"/>
              </w:rPr>
              <w:t>一、评审内容 针对本项目提供安全生产技术组织措施，包括但不限于①安全生产管理制度、配置安全组织机构；②安全隐患排查、整改制度；③防火防灾和应急处置措施；④应急救援机制等。 二、评审标准 1、完整性：方案须全面，对评审内容中的各项要求有详细描述； 2、可实施性：切合本项目实际情况，实施步骤清晰、合理； 3、针对性：方案能够紧扣项目实际情况，内容科学合理。 三、赋分依据（满分6分） ①安全生产管理制度、配置安全组织机构：每完全满足一个评审标准得0.5分，满分1.5分； ②安全隐患排查、整改制度：每完全满足一个评审标准得0.5分，满分1.5分； ③防火防灾和应急处置措施：每完全满足一个评审标准得0.5分，满分1.5分； ④应急救援机制等：每完全满足一个评审标准得0.5分，满分1.5分。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文明及环境保护措施</w:t>
            </w:r>
          </w:p>
        </w:tc>
        <w:tc>
          <w:tcPr>
            <w:tcW w:type="dxa" w:w="2492"/>
          </w:tcPr>
          <w:p>
            <w:pPr>
              <w:pStyle w:val="null3"/>
            </w:pPr>
            <w:r>
              <w:rPr>
                <w:rFonts w:ascii="仿宋_GB2312" w:hAnsi="仿宋_GB2312" w:cs="仿宋_GB2312" w:eastAsia="仿宋_GB2312"/>
              </w:rPr>
              <w:t>一、评审内容 针对本项目提供文明及环境保护措施，包括但不限于①文明及环境保护管理制度；②防尘降噪、节能减排措施。 二、评审标准 1、完整性：方案须全面，对评审内容中的各项要求有详细描述； 2、可实施性：切合本项目实际情况，实施步骤清晰、合理； 3、针对性：方案能够紧扣项目实际情况，内容科学合理。 三、赋分依据（满分3分） ①文明及环境保护管理制度：每完全满足一个评审标准得0.5分，满分1.5分； ②防尘降噪、节能减排措施：每完全满足一个评审标准得0.5分，满分1.5分。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施工进度保证措施</w:t>
            </w:r>
          </w:p>
        </w:tc>
        <w:tc>
          <w:tcPr>
            <w:tcW w:type="dxa" w:w="2492"/>
          </w:tcPr>
          <w:p>
            <w:pPr>
              <w:pStyle w:val="null3"/>
            </w:pPr>
            <w:r>
              <w:rPr>
                <w:rFonts w:ascii="仿宋_GB2312" w:hAnsi="仿宋_GB2312" w:cs="仿宋_GB2312" w:eastAsia="仿宋_GB2312"/>
              </w:rPr>
              <w:t>一、评审内容 针对本项目提供施工进度保证措施，包括但不限于①进度安排计划；②施工网络图：③工期目标控制；④工期保证措施。 二、评审标准 1、完整性：方案须全面，对评审内容中的各项要求有详细描述； 2、可实施性：切合本项目实际情况，实施步骤清晰、合理； 3、针对性：方案能够紧扣项目实际情况，内容科学合理。 三、赋分依据（满分6分） ①进度安排计划及：每完全满足一个评审标准得0.5分，满分1.5分； ②施工网络图：每完全满足一个评审标准得0.5分，满分1.5分； ③工期目标控制：每完全满足一个评审标准得0.5分，满分1.5分； ④工期保证措施：每完全满足一个评审标准得0.5分，满分1.5分。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一、评审内容 针对本项目提供施工机械配备和材料投入计划，包括但不限于①施工机械配置计划；②施工材料投入计划；③施工机械的维护保养计划；④材料的贮存计划。 二、评审标准 1、完整性：方案须全面，对评审内容中的各项要求有详细描述； 2、可实施性：切合本项目实际情况，实施步骤清晰、合理； 3、针对性：方案能够紧扣项目实际情况，内容科学合理。 三、赋分依据（满分12分） ①施工机械配置计划：每完全满足一个评审标准得1分，满分3分； ②施工材料投入计划：每完全满足一个评审标准得1分，满分3分； ③施工机械的维护保养计划：每完全满足一个评审标准得1分，满分3分； ④材料的贮存计划：每完全满足一个评审标准得1分，满分3分。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保修及后续服务</w:t>
            </w:r>
          </w:p>
        </w:tc>
        <w:tc>
          <w:tcPr>
            <w:tcW w:type="dxa" w:w="2492"/>
          </w:tcPr>
          <w:p>
            <w:pPr>
              <w:pStyle w:val="null3"/>
            </w:pPr>
            <w:r>
              <w:rPr>
                <w:rFonts w:ascii="仿宋_GB2312" w:hAnsi="仿宋_GB2312" w:cs="仿宋_GB2312" w:eastAsia="仿宋_GB2312"/>
              </w:rPr>
              <w:t>一、评审内容 针对本项目提供保修及后续服务，包括但不限于①验收方案；②维保措施；③保修责任及保修承诺；④响应时间及方式； 二、评审标准 1、完整性：方案须全面，对评审内容中的各项要求有详细描述； 2、可实施性：切合本项目实际情况，实施步骤清晰、合理； 3、针对性：方案能够紧扣项目实际情况，内容科学合理。 三、赋分依据（满分12分） ①验收方案：每完全满足一个评审标准得1分，满分3分； ②维保措施：每完全满足一个评审标准得1分，满分3分； ③保修责任及保修承诺：每完全满足一个评审标准得1分，满分3分； ④响应时间及方式：每完全满足一个评审标准得1分，满分3分。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供应商2023年1月1日至截标时间前类似施工项目业绩，每提供1份计2分，最高得4分，不提供不得分。 注：业绩证明（以合同或中标/成交通知书为准，须在磋商响应文件中附以上证明材料的扫描件加盖单位公章）。</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技术服务合同条款及其他商务要求应答表</w:t>
            </w:r>
          </w:p>
          <w:p>
            <w:pPr>
              <w:pStyle w:val="null3"/>
            </w:pPr>
            <w:r>
              <w:rPr>
                <w:rFonts w:ascii="仿宋_GB2312" w:hAnsi="仿宋_GB2312" w:cs="仿宋_GB2312" w:eastAsia="仿宋_GB2312"/>
              </w:rPr>
              <w:t>供应商类似项目业绩一览表</w:t>
            </w:r>
          </w:p>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强制优先采购产品承诺函</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满足磋商文件要求且磋商报价最低的报价为评审基准价。得分：报价得分=(评审基准价／最后报价)×30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详见附件：标的清单</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详见附件：合同示范文本.docx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