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版本号：JHZB-20260202020260506002</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政务应用系统信创适配整合迁移项目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JHZB-202602020</w:t>
      </w:r>
      <w:r>
        <w:br/>
      </w:r>
      <w:r>
        <w:br/>
      </w:r>
      <w:r>
        <w:br/>
      </w:r>
    </w:p>
    <w:p>
      <w:pPr>
        <w:pStyle w:val="null3"/>
        <w:jc w:val="center"/>
        <w:outlineLvl w:val="2"/>
      </w:pPr>
      <w:r>
        <w:rPr>
          <w:rFonts w:ascii="仿宋_GB2312" w:hAnsi="仿宋_GB2312" w:cs="仿宋_GB2312" w:eastAsia="仿宋_GB2312"/>
          <w:sz w:val="28"/>
          <w:b/>
        </w:rPr>
        <w:t>陕西省信息中心</w:t>
      </w:r>
    </w:p>
    <w:p>
      <w:pPr>
        <w:pStyle w:val="null3"/>
        <w:jc w:val="center"/>
        <w:outlineLvl w:val="2"/>
      </w:pPr>
      <w:r>
        <w:rPr>
          <w:rFonts w:ascii="仿宋_GB2312" w:hAnsi="仿宋_GB2312" w:cs="仿宋_GB2312" w:eastAsia="仿宋_GB2312"/>
          <w:sz w:val="28"/>
          <w:b/>
        </w:rPr>
        <w:t>陕西建华工程项目管理有限公司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陕西建华工程项目管理有限公司</w:t>
      </w:r>
      <w:r>
        <w:rPr>
          <w:rFonts w:ascii="仿宋_GB2312" w:hAnsi="仿宋_GB2312" w:cs="仿宋_GB2312" w:eastAsia="仿宋_GB2312"/>
        </w:rPr>
        <w:t>（以下简称“代理机构”）受</w:t>
      </w:r>
      <w:r>
        <w:rPr>
          <w:rFonts w:ascii="仿宋_GB2312" w:hAnsi="仿宋_GB2312" w:cs="仿宋_GB2312" w:eastAsia="仿宋_GB2312"/>
        </w:rPr>
        <w:t>陕西省信息中心</w:t>
      </w:r>
      <w:r>
        <w:rPr>
          <w:rFonts w:ascii="仿宋_GB2312" w:hAnsi="仿宋_GB2312" w:cs="仿宋_GB2312" w:eastAsia="仿宋_GB2312"/>
        </w:rPr>
        <w:t>委托，拟对</w:t>
      </w:r>
      <w:r>
        <w:rPr>
          <w:rFonts w:ascii="仿宋_GB2312" w:hAnsi="仿宋_GB2312" w:cs="仿宋_GB2312" w:eastAsia="仿宋_GB2312"/>
        </w:rPr>
        <w:t>政务应用系统信创适配整合迁移项目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JHZB-202602020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政务应用系统信创适配整合迁移项目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包括陕西省项目管理服务数字化平台、陕西省投资项目在线审批监管平台、津陕对口协作项目管理系统、陕西省重点用能单位能耗在线监测系统4个系统国产化适配，并以陕西省项目管理服务数字化平台为核心平台，对项目管理条线系统进行整合，业务数据全部无损迁移，完成与“三中枢两前端”的对接，达到等级保护第三级和国产密码安全性第三级要求。项目分为七个采购包：采购包1（陕西省项目管理服务数字化平台国产化适配整合迁移)；采购包2（陕西省重点用能单位能耗在线监测系统国产化适配迁移)；采购包3（项目工程监理)；采购包4（第三方审计)；采购包5（第三方软件测评)；采购包6（网络安全等级保护测评)；采购包7（商用密码应用安全性评估)。</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采购包1（陕西省项目管理服务数字化平台信创适配整合迁移项目）：属于专门面向中小企业采购。</w:t>
      </w:r>
    </w:p>
    <w:p>
      <w:pPr>
        <w:pStyle w:val="null3"/>
      </w:pPr>
      <w:r>
        <w:rPr>
          <w:rFonts w:ascii="仿宋_GB2312" w:hAnsi="仿宋_GB2312" w:cs="仿宋_GB2312" w:eastAsia="仿宋_GB2312"/>
        </w:rPr>
        <w:t>采购包2（陕西省重点能耗在线监测系统信创适配整合迁移项目）：属于专门面向中小企业采购。</w:t>
      </w:r>
    </w:p>
    <w:p>
      <w:pPr>
        <w:pStyle w:val="null3"/>
      </w:pPr>
      <w:r>
        <w:rPr>
          <w:rFonts w:ascii="仿宋_GB2312" w:hAnsi="仿宋_GB2312" w:cs="仿宋_GB2312" w:eastAsia="仿宋_GB2312"/>
        </w:rPr>
        <w:t>采购包3（工程监理）：属于专门面向中小企业采购。</w:t>
      </w:r>
    </w:p>
    <w:p>
      <w:pPr>
        <w:pStyle w:val="null3"/>
      </w:pPr>
      <w:r>
        <w:rPr>
          <w:rFonts w:ascii="仿宋_GB2312" w:hAnsi="仿宋_GB2312" w:cs="仿宋_GB2312" w:eastAsia="仿宋_GB2312"/>
        </w:rPr>
        <w:t>采购包4（第三方审计）：属于专门面向中小企业采购。</w:t>
      </w:r>
    </w:p>
    <w:p>
      <w:pPr>
        <w:pStyle w:val="null3"/>
      </w:pPr>
      <w:r>
        <w:rPr>
          <w:rFonts w:ascii="仿宋_GB2312" w:hAnsi="仿宋_GB2312" w:cs="仿宋_GB2312" w:eastAsia="仿宋_GB2312"/>
        </w:rPr>
        <w:t>采购包5（第三方软件测评）：属于专门面向中小企业采购。</w:t>
      </w:r>
    </w:p>
    <w:p>
      <w:pPr>
        <w:pStyle w:val="null3"/>
      </w:pPr>
      <w:r>
        <w:rPr>
          <w:rFonts w:ascii="仿宋_GB2312" w:hAnsi="仿宋_GB2312" w:cs="仿宋_GB2312" w:eastAsia="仿宋_GB2312"/>
        </w:rPr>
        <w:t>采购包6（网络安全等级保护测评）：属于专门面向中小企业采购。</w:t>
      </w:r>
    </w:p>
    <w:p>
      <w:pPr>
        <w:pStyle w:val="null3"/>
      </w:pPr>
      <w:r>
        <w:rPr>
          <w:rFonts w:ascii="仿宋_GB2312" w:hAnsi="仿宋_GB2312" w:cs="仿宋_GB2312" w:eastAsia="仿宋_GB2312"/>
        </w:rPr>
        <w:t>采购包7（密码应用安全性评估）：属于专门面向中小企业采购。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1、营业执照等主体资格证明文件：提供有效存续的企业营业执照（副本）/事业单位法人证书/专业服务机构执业许可证/民办非企业单位登记证书/自然人具有身份证明文件。</w:t>
      </w:r>
    </w:p>
    <w:p>
      <w:pPr>
        <w:pStyle w:val="null3"/>
      </w:pPr>
      <w:r>
        <w:rPr>
          <w:rFonts w:ascii="仿宋_GB2312" w:hAnsi="仿宋_GB2312" w:cs="仿宋_GB2312" w:eastAsia="仿宋_GB2312"/>
        </w:rPr>
        <w:t>2、财务状况报告：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5、专业技术能力的声明：具备履行合同所必需的设备和专业技术能力的证明材料（书面声明）。</w:t>
      </w:r>
    </w:p>
    <w:p>
      <w:pPr>
        <w:pStyle w:val="null3"/>
      </w:pPr>
      <w:r>
        <w:rPr>
          <w:rFonts w:ascii="仿宋_GB2312" w:hAnsi="仿宋_GB2312" w:cs="仿宋_GB2312" w:eastAsia="仿宋_GB2312"/>
        </w:rPr>
        <w:t>6、无违法记录：参加政府采购活动前3年内在经营活动中没有重大违法记录的书面声明。</w:t>
      </w:r>
    </w:p>
    <w:p>
      <w:pPr>
        <w:pStyle w:val="null3"/>
      </w:pPr>
      <w:r>
        <w:rPr>
          <w:rFonts w:ascii="仿宋_GB2312" w:hAnsi="仿宋_GB2312" w:cs="仿宋_GB2312" w:eastAsia="仿宋_GB2312"/>
        </w:rPr>
        <w:t>7、信用记录：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8、法人授权委托书：供应商代表应提供法定代表人（单位负责人）授权书（附法定代表人（单位负责人）及被授权人身份证复印件）并提供被授权人身份证原件，（法定代表人（单位负责人）直接参加只须提供法定代表人（单位负责人）身份证）原件。</w:t>
      </w:r>
    </w:p>
    <w:p>
      <w:pPr>
        <w:pStyle w:val="null3"/>
      </w:pPr>
      <w:r>
        <w:rPr>
          <w:rFonts w:ascii="仿宋_GB2312" w:hAnsi="仿宋_GB2312" w:cs="仿宋_GB2312" w:eastAsia="仿宋_GB2312"/>
        </w:rPr>
        <w:t>9、联合要求：本项目不接受联合体投标。单位负责人为同一人或者存在直接控股、管理关系的不同供应商，不得参加同一合同项下的政府采购活动。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1、营业执照等主体资格证明文件：提供有效存续的企业营业执照（副本）/事业单位法人证书/专业服务机构执业许可证/民办非企业单位登记证书/自然人具有身份证明文件</w:t>
      </w:r>
    </w:p>
    <w:p>
      <w:pPr>
        <w:pStyle w:val="null3"/>
      </w:pPr>
      <w:r>
        <w:rPr>
          <w:rFonts w:ascii="仿宋_GB2312" w:hAnsi="仿宋_GB2312" w:cs="仿宋_GB2312" w:eastAsia="仿宋_GB2312"/>
        </w:rPr>
        <w:t>2、财务状况报告：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5、无违法记录：参加政府采购活动前3年内在经营活动中没有重大违法记录的书面声明。</w:t>
      </w:r>
    </w:p>
    <w:p>
      <w:pPr>
        <w:pStyle w:val="null3"/>
      </w:pPr>
      <w:r>
        <w:rPr>
          <w:rFonts w:ascii="仿宋_GB2312" w:hAnsi="仿宋_GB2312" w:cs="仿宋_GB2312" w:eastAsia="仿宋_GB2312"/>
        </w:rPr>
        <w:t>6、信用记录：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7、专业技术能力的声明：提供具有履行本合同所必需的专业技术能力的声明。</w:t>
      </w:r>
    </w:p>
    <w:p>
      <w:pPr>
        <w:pStyle w:val="null3"/>
      </w:pPr>
      <w:r>
        <w:rPr>
          <w:rFonts w:ascii="仿宋_GB2312" w:hAnsi="仿宋_GB2312" w:cs="仿宋_GB2312" w:eastAsia="仿宋_GB2312"/>
        </w:rPr>
        <w:t>8、法定代表人授权委托书：法定代表人参加投标的，须提供本人身份证复印件（附在响应文件中）；法定代表人授权他人参加投标的，须提供法定代表人授权委托书。法定代表人授权他人参加投标的须提供其为本单位人员的有效第三方证明材料。</w:t>
      </w:r>
    </w:p>
    <w:p>
      <w:pPr>
        <w:pStyle w:val="null3"/>
      </w:pPr>
      <w:r>
        <w:rPr>
          <w:rFonts w:ascii="仿宋_GB2312" w:hAnsi="仿宋_GB2312" w:cs="仿宋_GB2312" w:eastAsia="仿宋_GB2312"/>
        </w:rPr>
        <w:t>9、联合要求：本项目不接受联合体投标。单位负责人为同一人或者存在直接控股、管理关系的不同供应商，不得参加同一合同项下的政府采购活动。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1、营业执照等主体资格证明文件：提供有效存续的企业营业执照（副本）/事业单位法人证书/专业服务机构执业许可证/民办非企业单位登记证书/自然人具有身份证明文件。</w:t>
      </w:r>
    </w:p>
    <w:p>
      <w:pPr>
        <w:pStyle w:val="null3"/>
      </w:pPr>
      <w:r>
        <w:rPr>
          <w:rFonts w:ascii="仿宋_GB2312" w:hAnsi="仿宋_GB2312" w:cs="仿宋_GB2312" w:eastAsia="仿宋_GB2312"/>
        </w:rPr>
        <w:t>2、财务状况报告：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5、无违法记录：参加政府采购活动前3年内在经营活动中没有重大违法记录的书面声明</w:t>
      </w:r>
    </w:p>
    <w:p>
      <w:pPr>
        <w:pStyle w:val="null3"/>
      </w:pPr>
      <w:r>
        <w:rPr>
          <w:rFonts w:ascii="仿宋_GB2312" w:hAnsi="仿宋_GB2312" w:cs="仿宋_GB2312" w:eastAsia="仿宋_GB2312"/>
        </w:rPr>
        <w:t>6、信用记录：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7、专业技术能力的声明：提供具有履行本合同所必需的专业技术能力的声明。</w:t>
      </w:r>
    </w:p>
    <w:p>
      <w:pPr>
        <w:pStyle w:val="null3"/>
      </w:pPr>
      <w:r>
        <w:rPr>
          <w:rFonts w:ascii="仿宋_GB2312" w:hAnsi="仿宋_GB2312" w:cs="仿宋_GB2312" w:eastAsia="仿宋_GB2312"/>
        </w:rPr>
        <w:t>8、法定代表人授权委托书：法定代表人参加投标的，须提供本人身份证复印件（附在响应文件中）；法定代表人授权他人参加投标的，须提供法定代表人授权委托书。法定代表人授权他人参加投标的须提供其为本单位人员的有效第三方证明材料。</w:t>
      </w:r>
    </w:p>
    <w:p>
      <w:pPr>
        <w:pStyle w:val="null3"/>
      </w:pPr>
      <w:r>
        <w:rPr>
          <w:rFonts w:ascii="仿宋_GB2312" w:hAnsi="仿宋_GB2312" w:cs="仿宋_GB2312" w:eastAsia="仿宋_GB2312"/>
        </w:rPr>
        <w:t>9、联合要求：本项目不接受联合体投标。单位负责人为同一人或者存在直接控股、管理关系的不同供应商，不得参加同一合同项下的政府采购活动。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1、营业执照等主体资格证明文件：提供有效存续的企业营业执照（副本）/事业单位法人证书/专业服务机构执业许可证/民办非企业单位登记证书/自然人具有身份证明文件。</w:t>
      </w:r>
    </w:p>
    <w:p>
      <w:pPr>
        <w:pStyle w:val="null3"/>
      </w:pPr>
      <w:r>
        <w:rPr>
          <w:rFonts w:ascii="仿宋_GB2312" w:hAnsi="仿宋_GB2312" w:cs="仿宋_GB2312" w:eastAsia="仿宋_GB2312"/>
        </w:rPr>
        <w:t>2、财务状况报告：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5、无违法记录：参加政府采购活动前3年内在经营活动中没有重大违法记录的书面声明</w:t>
      </w:r>
    </w:p>
    <w:p>
      <w:pPr>
        <w:pStyle w:val="null3"/>
      </w:pPr>
      <w:r>
        <w:rPr>
          <w:rFonts w:ascii="仿宋_GB2312" w:hAnsi="仿宋_GB2312" w:cs="仿宋_GB2312" w:eastAsia="仿宋_GB2312"/>
        </w:rPr>
        <w:t>6、信用记录：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7、专业技术能力的声明：提供具有履行本合同所必需的专业技术能力的声明。</w:t>
      </w:r>
    </w:p>
    <w:p>
      <w:pPr>
        <w:pStyle w:val="null3"/>
      </w:pPr>
      <w:r>
        <w:rPr>
          <w:rFonts w:ascii="仿宋_GB2312" w:hAnsi="仿宋_GB2312" w:cs="仿宋_GB2312" w:eastAsia="仿宋_GB2312"/>
        </w:rPr>
        <w:t>8、法定代表人授权委托书：法定代表人参加投标的，须提供本人身份证复印件（附在响应文件中）；法定代表人授权他人参加投标的，须提供法定代表人授权委托书。法定代表人授权他人参加投标的须提供其为本单位人员的有效第三方证明材料。</w:t>
      </w:r>
    </w:p>
    <w:p>
      <w:pPr>
        <w:pStyle w:val="null3"/>
      </w:pPr>
      <w:r>
        <w:rPr>
          <w:rFonts w:ascii="仿宋_GB2312" w:hAnsi="仿宋_GB2312" w:cs="仿宋_GB2312" w:eastAsia="仿宋_GB2312"/>
        </w:rPr>
        <w:t>9、联合要求：本项目不接受联合体投标。单位负责人为同一人或者存在直接控股、管理关系的不同供应商，不得参加同一合同项下的政府采购活动。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10、资格证明资料：供应商须具备财政主管部门出具的有效会计师事务所执业证书</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1、营业执照等主体资格证明文件：提供有效存续的企业营业执照（副本）/事业单位法人证书/专业服务机构执业许可证/民办非企业单位登记证书/自然人具有身份证明文件。</w:t>
      </w:r>
    </w:p>
    <w:p>
      <w:pPr>
        <w:pStyle w:val="null3"/>
      </w:pPr>
      <w:r>
        <w:rPr>
          <w:rFonts w:ascii="仿宋_GB2312" w:hAnsi="仿宋_GB2312" w:cs="仿宋_GB2312" w:eastAsia="仿宋_GB2312"/>
        </w:rPr>
        <w:t>2、财务状况报告：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5、无违法记录：参加政府采购活动前3年内在经营活动中没有重大违法记录的书面声明。</w:t>
      </w:r>
    </w:p>
    <w:p>
      <w:pPr>
        <w:pStyle w:val="null3"/>
      </w:pPr>
      <w:r>
        <w:rPr>
          <w:rFonts w:ascii="仿宋_GB2312" w:hAnsi="仿宋_GB2312" w:cs="仿宋_GB2312" w:eastAsia="仿宋_GB2312"/>
        </w:rPr>
        <w:t>6、信用记录：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7、专业技术能力的声明：提供具有履行本合同所必需的专业技术能力的声明。</w:t>
      </w:r>
    </w:p>
    <w:p>
      <w:pPr>
        <w:pStyle w:val="null3"/>
      </w:pPr>
      <w:r>
        <w:rPr>
          <w:rFonts w:ascii="仿宋_GB2312" w:hAnsi="仿宋_GB2312" w:cs="仿宋_GB2312" w:eastAsia="仿宋_GB2312"/>
        </w:rPr>
        <w:t>8、法定代表人授权委托书：法定代表人参加投标的，须提供本人身份证复印件（附在响应文件中）；法定代表人授权他人参加投标的，须提供法定代表人授权委托书。法定代表人授权他人参加投标的须提供其为本单位人员的有效第三方证明材料。</w:t>
      </w:r>
    </w:p>
    <w:p>
      <w:pPr>
        <w:pStyle w:val="null3"/>
      </w:pPr>
      <w:r>
        <w:rPr>
          <w:rFonts w:ascii="仿宋_GB2312" w:hAnsi="仿宋_GB2312" w:cs="仿宋_GB2312" w:eastAsia="仿宋_GB2312"/>
        </w:rPr>
        <w:t>9、联合要求：本项目不接受联合体投标。单位负责人为同一人或者存在直接控股、管理关系的不同供应商，不得参加同一合同项下的政府采购活动。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10、资格证明资料：供应商须具有市场监督管理局颁发的CMA检验检测机构资质认定证书</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1、营业执照等主体资格证明文件：提供有效存续的企业营业执照（副本）/事业单位法人证书/专业服务机构执业许可证/民办非企业单位登记证书/自然人具有身份证明文件。</w:t>
      </w:r>
    </w:p>
    <w:p>
      <w:pPr>
        <w:pStyle w:val="null3"/>
      </w:pPr>
      <w:r>
        <w:rPr>
          <w:rFonts w:ascii="仿宋_GB2312" w:hAnsi="仿宋_GB2312" w:cs="仿宋_GB2312" w:eastAsia="仿宋_GB2312"/>
        </w:rPr>
        <w:t>2、财务状况报告：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5、无违法记录：参加政府采购活动前3年内在经营活动中没有重大违法记录的书面声明。</w:t>
      </w:r>
    </w:p>
    <w:p>
      <w:pPr>
        <w:pStyle w:val="null3"/>
      </w:pPr>
      <w:r>
        <w:rPr>
          <w:rFonts w:ascii="仿宋_GB2312" w:hAnsi="仿宋_GB2312" w:cs="仿宋_GB2312" w:eastAsia="仿宋_GB2312"/>
        </w:rPr>
        <w:t>6、信用记录：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7、专业技术能力的声明：提供具有履行本合同所必需的专业技术能力的声明。</w:t>
      </w:r>
    </w:p>
    <w:p>
      <w:pPr>
        <w:pStyle w:val="null3"/>
      </w:pPr>
      <w:r>
        <w:rPr>
          <w:rFonts w:ascii="仿宋_GB2312" w:hAnsi="仿宋_GB2312" w:cs="仿宋_GB2312" w:eastAsia="仿宋_GB2312"/>
        </w:rPr>
        <w:t>8、法定代表人授权委托书：法定代表人参加投标的，须提供本人身份证复印件（附在响应文件中）；法定代表人授权他人参加投标的，须提供法定代表人授权委托书。法定代表人授权他人参加投标的须提供其为本单位人员的有效第三方证明材料。</w:t>
      </w:r>
    </w:p>
    <w:p>
      <w:pPr>
        <w:pStyle w:val="null3"/>
      </w:pPr>
      <w:r>
        <w:rPr>
          <w:rFonts w:ascii="仿宋_GB2312" w:hAnsi="仿宋_GB2312" w:cs="仿宋_GB2312" w:eastAsia="仿宋_GB2312"/>
        </w:rPr>
        <w:t>9、联合要求：本项目不接受联合体投标。单位负责人为同一人或者存在直接控股、管理关系的不同供应商，不得参加同一合同项下的政府采购活动。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10、资格证明资料：供应商须具有公安部第三研究所颁发的网络安全服务认证证书等级保护测评服务认证。</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1、营业执照等主体资格证明文件：提供有效存续的企业营业执照（副本）/事业单位法人证书/专业服务机构执业许可证/民办非企业单位登记证书/自然人具有身份证明文件。</w:t>
      </w:r>
    </w:p>
    <w:p>
      <w:pPr>
        <w:pStyle w:val="null3"/>
      </w:pPr>
      <w:r>
        <w:rPr>
          <w:rFonts w:ascii="仿宋_GB2312" w:hAnsi="仿宋_GB2312" w:cs="仿宋_GB2312" w:eastAsia="仿宋_GB2312"/>
        </w:rPr>
        <w:t>2、财务状况报告：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p>
      <w:pPr>
        <w:pStyle w:val="null3"/>
      </w:pPr>
      <w:r>
        <w:rPr>
          <w:rFonts w:ascii="仿宋_GB2312" w:hAnsi="仿宋_GB2312" w:cs="仿宋_GB2312" w:eastAsia="仿宋_GB2312"/>
        </w:rPr>
        <w:t>3、社保缴纳证明：提供递交投标文件截止之日前六个月内任意一个月的社会保障资金缴存单据或社保机构开具的社会保险参保缴费情况证明。依法不需要缴纳社会保障资金的供应商应提供相关文件证明。</w:t>
      </w:r>
    </w:p>
    <w:p>
      <w:pPr>
        <w:pStyle w:val="null3"/>
      </w:pPr>
      <w:r>
        <w:rPr>
          <w:rFonts w:ascii="仿宋_GB2312" w:hAnsi="仿宋_GB2312" w:cs="仿宋_GB2312" w:eastAsia="仿宋_GB2312"/>
        </w:rPr>
        <w:t>4、税收缴纳证明：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5、无违法记录：参加政府采购活动前3年内在经营活动中没有重大违法记录的书面声明。</w:t>
      </w:r>
    </w:p>
    <w:p>
      <w:pPr>
        <w:pStyle w:val="null3"/>
      </w:pPr>
      <w:r>
        <w:rPr>
          <w:rFonts w:ascii="仿宋_GB2312" w:hAnsi="仿宋_GB2312" w:cs="仿宋_GB2312" w:eastAsia="仿宋_GB2312"/>
        </w:rPr>
        <w:t>6、信用记录：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p>
      <w:pPr>
        <w:pStyle w:val="null3"/>
      </w:pPr>
      <w:r>
        <w:rPr>
          <w:rFonts w:ascii="仿宋_GB2312" w:hAnsi="仿宋_GB2312" w:cs="仿宋_GB2312" w:eastAsia="仿宋_GB2312"/>
        </w:rPr>
        <w:t>7、书面声明：提供具有履行本合同所必需的专业技术能力的声明。</w:t>
      </w:r>
    </w:p>
    <w:p>
      <w:pPr>
        <w:pStyle w:val="null3"/>
      </w:pPr>
      <w:r>
        <w:rPr>
          <w:rFonts w:ascii="仿宋_GB2312" w:hAnsi="仿宋_GB2312" w:cs="仿宋_GB2312" w:eastAsia="仿宋_GB2312"/>
        </w:rPr>
        <w:t>8、法定代表人授权委托书：法定代表人参加投标的，须提供本人身份证复印件（附在响应文件中）；法定代表人授权他人参加投标的，须提供法定代表人授权委托书。法定代表人授权他人参加投标的，须提供其为本单位人员的有效第三方证明材料。</w:t>
      </w:r>
    </w:p>
    <w:p>
      <w:pPr>
        <w:pStyle w:val="null3"/>
      </w:pPr>
      <w:r>
        <w:rPr>
          <w:rFonts w:ascii="仿宋_GB2312" w:hAnsi="仿宋_GB2312" w:cs="仿宋_GB2312" w:eastAsia="仿宋_GB2312"/>
        </w:rPr>
        <w:t>9、联合要求：本项目不接受联合体投标。单位负责人为同一人或者存在直接控股、管理关系的不同供应商，不得参加同一合同项下的政府采购活动。</w:t>
      </w:r>
    </w:p>
    <w:p>
      <w:pPr>
        <w:pStyle w:val="null3"/>
      </w:pPr>
      <w:r>
        <w:rPr>
          <w:rFonts w:ascii="仿宋_GB2312" w:hAnsi="仿宋_GB2312" w:cs="仿宋_GB2312" w:eastAsia="仿宋_GB2312"/>
        </w:rPr>
        <w:t>10、资格证明资料：供应商须在国家密码管理局公告（53号）发布的《商用密码检测机构（商用密码应用安全性评估业务）目录》内，具有商用密码检测机构资质证书。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陕西省信息中心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新城区新城大院11号楼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魏靖真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029-63918167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陕西建华工程项目管理有限公司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西安市未央区太华北路华远锦悦写字楼21层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黄琳、蒋娜娜、胡雨萍</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029-87344651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采购包1：1,433,000.00元</w:t>
            </w:r>
          </w:p>
          <w:p>
            <w:pPr>
              <w:pStyle w:val="null3"/>
            </w:pPr>
            <w:r>
              <w:rPr>
                <w:rFonts w:ascii="仿宋_GB2312" w:hAnsi="仿宋_GB2312" w:cs="仿宋_GB2312" w:eastAsia="仿宋_GB2312"/>
              </w:rPr>
              <w:t>采购包2：440,800.00元</w:t>
            </w:r>
          </w:p>
          <w:p>
            <w:pPr>
              <w:pStyle w:val="null3"/>
            </w:pPr>
            <w:r>
              <w:rPr>
                <w:rFonts w:ascii="仿宋_GB2312" w:hAnsi="仿宋_GB2312" w:cs="仿宋_GB2312" w:eastAsia="仿宋_GB2312"/>
              </w:rPr>
              <w:t>采购包3：47,900.00元</w:t>
            </w:r>
          </w:p>
          <w:p>
            <w:pPr>
              <w:pStyle w:val="null3"/>
            </w:pPr>
            <w:r>
              <w:rPr>
                <w:rFonts w:ascii="仿宋_GB2312" w:hAnsi="仿宋_GB2312" w:cs="仿宋_GB2312" w:eastAsia="仿宋_GB2312"/>
              </w:rPr>
              <w:t>采购包4：15,000.00元</w:t>
            </w:r>
          </w:p>
          <w:p>
            <w:pPr>
              <w:pStyle w:val="null3"/>
            </w:pPr>
            <w:r>
              <w:rPr>
                <w:rFonts w:ascii="仿宋_GB2312" w:hAnsi="仿宋_GB2312" w:cs="仿宋_GB2312" w:eastAsia="仿宋_GB2312"/>
              </w:rPr>
              <w:t>采购包5：58,000.00元</w:t>
            </w:r>
          </w:p>
          <w:p>
            <w:pPr>
              <w:pStyle w:val="null3"/>
            </w:pPr>
            <w:r>
              <w:rPr>
                <w:rFonts w:ascii="仿宋_GB2312" w:hAnsi="仿宋_GB2312" w:cs="仿宋_GB2312" w:eastAsia="仿宋_GB2312"/>
              </w:rPr>
              <w:t>采购包6：180,000.00元</w:t>
            </w:r>
          </w:p>
          <w:p>
            <w:pPr>
              <w:pStyle w:val="null3"/>
            </w:pPr>
            <w:r>
              <w:rPr>
                <w:rFonts w:ascii="仿宋_GB2312" w:hAnsi="仿宋_GB2312" w:cs="仿宋_GB2312" w:eastAsia="仿宋_GB2312"/>
              </w:rPr>
              <w:t>采购包7：180,000.00元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p>
          <w:p>
            <w:pPr>
              <w:pStyle w:val="null3"/>
            </w:pPr>
            <w:r>
              <w:rPr>
                <w:rFonts w:ascii="仿宋_GB2312" w:hAnsi="仿宋_GB2312" w:cs="仿宋_GB2312" w:eastAsia="仿宋_GB2312"/>
              </w:rPr>
              <w:t>采购包3：不接受</w:t>
            </w:r>
          </w:p>
          <w:p>
            <w:pPr>
              <w:pStyle w:val="null3"/>
            </w:pPr>
            <w:r>
              <w:rPr>
                <w:rFonts w:ascii="仿宋_GB2312" w:hAnsi="仿宋_GB2312" w:cs="仿宋_GB2312" w:eastAsia="仿宋_GB2312"/>
              </w:rPr>
              <w:t>采购包4：不接受</w:t>
            </w:r>
          </w:p>
          <w:p>
            <w:pPr>
              <w:pStyle w:val="null3"/>
            </w:pPr>
            <w:r>
              <w:rPr>
                <w:rFonts w:ascii="仿宋_GB2312" w:hAnsi="仿宋_GB2312" w:cs="仿宋_GB2312" w:eastAsia="仿宋_GB2312"/>
              </w:rPr>
              <w:t>采购包5：不接受</w:t>
            </w:r>
          </w:p>
          <w:p>
            <w:pPr>
              <w:pStyle w:val="null3"/>
            </w:pPr>
            <w:r>
              <w:rPr>
                <w:rFonts w:ascii="仿宋_GB2312" w:hAnsi="仿宋_GB2312" w:cs="仿宋_GB2312" w:eastAsia="仿宋_GB2312"/>
              </w:rPr>
              <w:t>采购包6：不接受</w:t>
            </w:r>
          </w:p>
          <w:p>
            <w:pPr>
              <w:pStyle w:val="null3"/>
            </w:pPr>
            <w:r>
              <w:rPr>
                <w:rFonts w:ascii="仿宋_GB2312" w:hAnsi="仿宋_GB2312" w:cs="仿宋_GB2312" w:eastAsia="仿宋_GB2312"/>
              </w:rPr>
              <w:t>采购包7：不接受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采购包2保证金金额：5,000.00元</w:t>
            </w:r>
          </w:p>
          <w:p>
            <w:pPr>
              <w:pStyle w:val="null3"/>
            </w:pPr>
            <w:r>
              <w:rPr>
                <w:rFonts w:ascii="仿宋_GB2312" w:hAnsi="仿宋_GB2312" w:cs="仿宋_GB2312" w:eastAsia="仿宋_GB2312"/>
              </w:rPr>
              <w:t>采购包3保证金金额：500.00元</w:t>
            </w:r>
          </w:p>
          <w:p>
            <w:pPr>
              <w:pStyle w:val="null3"/>
            </w:pPr>
            <w:r>
              <w:rPr>
                <w:rFonts w:ascii="仿宋_GB2312" w:hAnsi="仿宋_GB2312" w:cs="仿宋_GB2312" w:eastAsia="仿宋_GB2312"/>
              </w:rPr>
              <w:t>采购包4保证金金额：300.00元</w:t>
            </w:r>
          </w:p>
          <w:p>
            <w:pPr>
              <w:pStyle w:val="null3"/>
            </w:pPr>
            <w:r>
              <w:rPr>
                <w:rFonts w:ascii="仿宋_GB2312" w:hAnsi="仿宋_GB2312" w:cs="仿宋_GB2312" w:eastAsia="仿宋_GB2312"/>
              </w:rPr>
              <w:t>采购包5保证金金额：1,000.00元</w:t>
            </w:r>
          </w:p>
          <w:p>
            <w:pPr>
              <w:pStyle w:val="null3"/>
            </w:pPr>
            <w:r>
              <w:rPr>
                <w:rFonts w:ascii="仿宋_GB2312" w:hAnsi="仿宋_GB2312" w:cs="仿宋_GB2312" w:eastAsia="仿宋_GB2312"/>
              </w:rPr>
              <w:t>采购包6保证金金额：2,000.00元</w:t>
            </w:r>
          </w:p>
          <w:p>
            <w:pPr>
              <w:pStyle w:val="null3"/>
            </w:pPr>
            <w:r>
              <w:rPr>
                <w:rFonts w:ascii="仿宋_GB2312" w:hAnsi="仿宋_GB2312" w:cs="仿宋_GB2312" w:eastAsia="仿宋_GB2312"/>
              </w:rPr>
              <w:t>采购包7保证金金额：2,000.00元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开户名称：陕西建华工程项目管理有限公司</w:t>
            </w:r>
          </w:p>
          <w:p>
            <w:pPr>
              <w:pStyle w:val="null3"/>
            </w:pPr>
            <w:r>
              <w:rPr>
                <w:rFonts w:ascii="仿宋_GB2312" w:hAnsi="仿宋_GB2312" w:cs="仿宋_GB2312" w:eastAsia="仿宋_GB2312"/>
              </w:rPr>
              <w:t>开户银行：兴业银行西安太华北路支行</w:t>
            </w:r>
          </w:p>
          <w:p>
            <w:pPr>
              <w:pStyle w:val="null3"/>
            </w:pPr>
            <w:r>
              <w:rPr>
                <w:rFonts w:ascii="仿宋_GB2312" w:hAnsi="仿宋_GB2312" w:cs="仿宋_GB2312" w:eastAsia="仿宋_GB2312"/>
              </w:rPr>
              <w:t>银行账号：456680100100068661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p>
            <w:pPr>
              <w:pStyle w:val="null3"/>
            </w:pPr>
            <w:r>
              <w:rPr>
                <w:rFonts w:ascii="仿宋_GB2312" w:hAnsi="仿宋_GB2312" w:cs="仿宋_GB2312" w:eastAsia="仿宋_GB2312"/>
              </w:rPr>
              <w:t>采购包3：不缴纳</w:t>
            </w:r>
          </w:p>
          <w:p>
            <w:pPr>
              <w:pStyle w:val="null3"/>
            </w:pPr>
            <w:r>
              <w:rPr>
                <w:rFonts w:ascii="仿宋_GB2312" w:hAnsi="仿宋_GB2312" w:cs="仿宋_GB2312" w:eastAsia="仿宋_GB2312"/>
              </w:rPr>
              <w:t>采购包4：不缴纳</w:t>
            </w:r>
          </w:p>
          <w:p>
            <w:pPr>
              <w:pStyle w:val="null3"/>
            </w:pPr>
            <w:r>
              <w:rPr>
                <w:rFonts w:ascii="仿宋_GB2312" w:hAnsi="仿宋_GB2312" w:cs="仿宋_GB2312" w:eastAsia="仿宋_GB2312"/>
              </w:rPr>
              <w:t>采购包5：不缴纳</w:t>
            </w:r>
          </w:p>
          <w:p>
            <w:pPr>
              <w:pStyle w:val="null3"/>
            </w:pPr>
            <w:r>
              <w:rPr>
                <w:rFonts w:ascii="仿宋_GB2312" w:hAnsi="仿宋_GB2312" w:cs="仿宋_GB2312" w:eastAsia="仿宋_GB2312"/>
              </w:rPr>
              <w:t>采购包6：不缴纳</w:t>
            </w:r>
          </w:p>
          <w:p>
            <w:pPr>
              <w:pStyle w:val="null3"/>
            </w:pPr>
            <w:r>
              <w:rPr>
                <w:rFonts w:ascii="仿宋_GB2312" w:hAnsi="仿宋_GB2312" w:cs="仿宋_GB2312" w:eastAsia="仿宋_GB2312"/>
              </w:rPr>
              <w:t>采购包7：不缴纳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代理服务费用收取对象：采购人</w:t>
            </w:r>
          </w:p>
          <w:p>
            <w:pPr>
              <w:pStyle w:val="null3"/>
            </w:pPr>
            <w:r>
              <w:rPr>
                <w:rFonts w:ascii="仿宋_GB2312" w:hAnsi="仿宋_GB2312" w:cs="仿宋_GB2312" w:eastAsia="仿宋_GB2312"/>
              </w:rPr>
              <w:t>代理服务费收费标准：2.1万元。</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p>
            <w:pPr>
              <w:pStyle w:val="null3"/>
            </w:pPr>
            <w:r>
              <w:rPr>
                <w:rFonts w:ascii="仿宋_GB2312" w:hAnsi="仿宋_GB2312" w:cs="仿宋_GB2312" w:eastAsia="仿宋_GB2312"/>
              </w:rPr>
              <w:t>采购包3：组织现场踏勘：否</w:t>
            </w:r>
          </w:p>
          <w:p>
            <w:pPr>
              <w:pStyle w:val="null3"/>
            </w:pPr>
            <w:r>
              <w:rPr>
                <w:rFonts w:ascii="仿宋_GB2312" w:hAnsi="仿宋_GB2312" w:cs="仿宋_GB2312" w:eastAsia="仿宋_GB2312"/>
              </w:rPr>
              <w:t>采购包4：组织现场踏勘：否</w:t>
            </w:r>
          </w:p>
          <w:p>
            <w:pPr>
              <w:pStyle w:val="null3"/>
            </w:pPr>
            <w:r>
              <w:rPr>
                <w:rFonts w:ascii="仿宋_GB2312" w:hAnsi="仿宋_GB2312" w:cs="仿宋_GB2312" w:eastAsia="仿宋_GB2312"/>
              </w:rPr>
              <w:t>采购包5：组织现场踏勘：否</w:t>
            </w:r>
          </w:p>
          <w:p>
            <w:pPr>
              <w:pStyle w:val="null3"/>
            </w:pPr>
            <w:r>
              <w:rPr>
                <w:rFonts w:ascii="仿宋_GB2312" w:hAnsi="仿宋_GB2312" w:cs="仿宋_GB2312" w:eastAsia="仿宋_GB2312"/>
              </w:rPr>
              <w:t>采购包6：组织现场踏勘：否</w:t>
            </w:r>
          </w:p>
          <w:p>
            <w:pPr>
              <w:pStyle w:val="null3"/>
            </w:pPr>
            <w:r>
              <w:rPr>
                <w:rFonts w:ascii="仿宋_GB2312" w:hAnsi="仿宋_GB2312" w:cs="仿宋_GB2312" w:eastAsia="仿宋_GB2312"/>
              </w:rPr>
              <w:t>采购包7：组织现场踏勘：否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陕西省信息中心</w:t>
      </w:r>
      <w:r>
        <w:rPr>
          <w:rFonts w:ascii="仿宋_GB2312" w:hAnsi="仿宋_GB2312" w:cs="仿宋_GB2312" w:eastAsia="仿宋_GB2312"/>
        </w:rPr>
        <w:t>和</w:t>
      </w:r>
      <w:r>
        <w:rPr>
          <w:rFonts w:ascii="仿宋_GB2312" w:hAnsi="仿宋_GB2312" w:cs="仿宋_GB2312" w:eastAsia="仿宋_GB2312"/>
        </w:rPr>
        <w:t>陕西建华工程项目管理有限公司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陕西省信息中心</w:t>
      </w:r>
      <w:r>
        <w:rPr>
          <w:rFonts w:ascii="仿宋_GB2312" w:hAnsi="仿宋_GB2312" w:cs="仿宋_GB2312" w:eastAsia="仿宋_GB2312"/>
        </w:rPr>
        <w:t>负责解释。除上述招标文件内容，其他内容由</w:t>
      </w:r>
      <w:r>
        <w:rPr>
          <w:rFonts w:ascii="仿宋_GB2312" w:hAnsi="仿宋_GB2312" w:cs="仿宋_GB2312" w:eastAsia="仿宋_GB2312"/>
        </w:rPr>
        <w:t>陕西建华工程项目管理有限公司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陕西省信息中心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陕西建华工程项目管理有限公司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pPr>
      <w:r>
        <w:rPr>
          <w:rFonts w:ascii="仿宋_GB2312" w:hAnsi="仿宋_GB2312" w:cs="仿宋_GB2312" w:eastAsia="仿宋_GB2312"/>
        </w:rPr>
        <w:t>采购包3：不允许合同分包。</w:t>
      </w:r>
    </w:p>
    <w:p>
      <w:pPr>
        <w:pStyle w:val="null3"/>
      </w:pPr>
      <w:r>
        <w:rPr>
          <w:rFonts w:ascii="仿宋_GB2312" w:hAnsi="仿宋_GB2312" w:cs="仿宋_GB2312" w:eastAsia="仿宋_GB2312"/>
        </w:rPr>
        <w:t>采购包4：不允许合同分包。</w:t>
      </w:r>
    </w:p>
    <w:p>
      <w:pPr>
        <w:pStyle w:val="null3"/>
      </w:pPr>
      <w:r>
        <w:rPr>
          <w:rFonts w:ascii="仿宋_GB2312" w:hAnsi="仿宋_GB2312" w:cs="仿宋_GB2312" w:eastAsia="仿宋_GB2312"/>
        </w:rPr>
        <w:t>采购包5：不允许合同分包。</w:t>
      </w:r>
    </w:p>
    <w:p>
      <w:pPr>
        <w:pStyle w:val="null3"/>
      </w:pPr>
      <w:r>
        <w:rPr>
          <w:rFonts w:ascii="仿宋_GB2312" w:hAnsi="仿宋_GB2312" w:cs="仿宋_GB2312" w:eastAsia="仿宋_GB2312"/>
        </w:rPr>
        <w:t>采购包6：不允许合同分包。</w:t>
      </w:r>
    </w:p>
    <w:p>
      <w:pPr>
        <w:pStyle w:val="null3"/>
      </w:pPr>
      <w:r>
        <w:rPr>
          <w:rFonts w:ascii="仿宋_GB2312" w:hAnsi="仿宋_GB2312" w:cs="仿宋_GB2312" w:eastAsia="仿宋_GB2312"/>
        </w:rPr>
        <w:t>采购包7：不允许合同分包。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陕西建华工程项目管理有限公司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陕西建华工程项目管理有限公司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陕西建华工程项目管理有限公司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联系人：黄琳</w:t>
      </w:r>
    </w:p>
    <w:p>
      <w:pPr>
        <w:pStyle w:val="null3"/>
      </w:pPr>
      <w:r>
        <w:rPr>
          <w:rFonts w:ascii="仿宋_GB2312" w:hAnsi="仿宋_GB2312" w:cs="仿宋_GB2312" w:eastAsia="仿宋_GB2312"/>
        </w:rPr>
        <w:t>联系电话：029-87344651</w:t>
      </w:r>
    </w:p>
    <w:p>
      <w:pPr>
        <w:pStyle w:val="null3"/>
      </w:pPr>
      <w:r>
        <w:rPr>
          <w:rFonts w:ascii="仿宋_GB2312" w:hAnsi="仿宋_GB2312" w:cs="仿宋_GB2312" w:eastAsia="仿宋_GB2312"/>
        </w:rPr>
        <w:t>地址：西安市未央区太华北路华远锦悦写字楼21层</w:t>
      </w:r>
    </w:p>
    <w:p>
      <w:pPr>
        <w:pStyle w:val="null3"/>
      </w:pPr>
      <w:r>
        <w:rPr>
          <w:rFonts w:ascii="仿宋_GB2312" w:hAnsi="仿宋_GB2312" w:cs="仿宋_GB2312" w:eastAsia="仿宋_GB2312"/>
        </w:rPr>
        <w:t>邮编：710006</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包括陕西省项目管理服务数字化平台、陕西省投资项目在线审批监管平台、津陕对口协作项目管理系统、陕西省重点用能单位能耗在线监测系统4个系统国产化适配，并以陕西省项目管理服务数字化平台为核心平台，对项目管理条线系统进行整合，业务数据全部无损迁移，完成与三中枢两前端的对接，达到等级保护第三级和国产密码安全性第三级要求。项目分为七个采购包:采购包1(陕西省项目管理服务数字化平台国产化适配整合迁移);采购包2(陕西省重点用能单位能耗在线监测系统国产化适配迁移);采购包3(工程监理);采购包4(第三方审计);采购包5(第三方软件测评);采购包6(网络安全等级保护测评);采购包7(密码应用安全性评估)。</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1,433,000.00</w:t>
      </w:r>
    </w:p>
    <w:p>
      <w:pPr>
        <w:pStyle w:val="null3"/>
      </w:pPr>
      <w:r>
        <w:rPr>
          <w:rFonts w:ascii="仿宋_GB2312" w:hAnsi="仿宋_GB2312" w:cs="仿宋_GB2312" w:eastAsia="仿宋_GB2312"/>
        </w:rPr>
        <w:t>采购包最高限价（元）: 1,433,000.00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陕西省项目管理服务数字化平台信创适配整合迁移项目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1,433,000.00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440,800.00</w:t>
      </w:r>
    </w:p>
    <w:p>
      <w:pPr>
        <w:pStyle w:val="null3"/>
      </w:pPr>
      <w:r>
        <w:rPr>
          <w:rFonts w:ascii="仿宋_GB2312" w:hAnsi="仿宋_GB2312" w:cs="仿宋_GB2312" w:eastAsia="仿宋_GB2312"/>
        </w:rPr>
        <w:t>采购包最高限价（元）: 440,800.00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陕西省重点能耗在线监测系统信创适配整合迁移项目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440,800.00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采购包预算金额（元）: 47,900.00</w:t>
      </w:r>
    </w:p>
    <w:p>
      <w:pPr>
        <w:pStyle w:val="null3"/>
      </w:pPr>
      <w:r>
        <w:rPr>
          <w:rFonts w:ascii="仿宋_GB2312" w:hAnsi="仿宋_GB2312" w:cs="仿宋_GB2312" w:eastAsia="仿宋_GB2312"/>
        </w:rPr>
        <w:t>采购包最高限价（元）: 47,900.00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工程监理</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47,900.00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采购包预算金额（元）: 15,000.00</w:t>
      </w:r>
    </w:p>
    <w:p>
      <w:pPr>
        <w:pStyle w:val="null3"/>
      </w:pPr>
      <w:r>
        <w:rPr>
          <w:rFonts w:ascii="仿宋_GB2312" w:hAnsi="仿宋_GB2312" w:cs="仿宋_GB2312" w:eastAsia="仿宋_GB2312"/>
        </w:rPr>
        <w:t>采购包最高限价（元）: 15,000.00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第三方审计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15,000.00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采购包预算金额（元）: 58,000.00</w:t>
      </w:r>
    </w:p>
    <w:p>
      <w:pPr>
        <w:pStyle w:val="null3"/>
      </w:pPr>
      <w:r>
        <w:rPr>
          <w:rFonts w:ascii="仿宋_GB2312" w:hAnsi="仿宋_GB2312" w:cs="仿宋_GB2312" w:eastAsia="仿宋_GB2312"/>
        </w:rPr>
        <w:t>采购包最高限价（元）: 58,000.00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第三方软件测评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网络安全等级保护测评</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采购包预算金额（元）: 180,000.00</w:t>
      </w:r>
    </w:p>
    <w:p>
      <w:pPr>
        <w:pStyle w:val="null3"/>
      </w:pPr>
      <w:r>
        <w:rPr>
          <w:rFonts w:ascii="仿宋_GB2312" w:hAnsi="仿宋_GB2312" w:cs="仿宋_GB2312" w:eastAsia="仿宋_GB2312"/>
        </w:rPr>
        <w:t>采购包最高限价（元）: 180,000.00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密码应用安全性评估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标的名称：陕西省项目管理服务数字化平台信创适配整合迁移项目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一、项目基本情况</w:t>
            </w:r>
          </w:p>
          <w:p>
            <w:pPr>
              <w:pStyle w:val="null3"/>
              <w:ind w:firstLine="480"/>
            </w:pPr>
            <w:r>
              <w:rPr>
                <w:rFonts w:ascii="仿宋_GB2312" w:hAnsi="仿宋_GB2312" w:cs="仿宋_GB2312" w:eastAsia="仿宋_GB2312"/>
                <w:sz w:val="20"/>
              </w:rPr>
              <w:t>本项目内容包括陕西省项目管理服务数字化平台、陕西省投资项目在线审批监管平台、津陕对口协作项目管理系统</w:t>
            </w:r>
            <w:r>
              <w:rPr>
                <w:rFonts w:ascii="仿宋_GB2312" w:hAnsi="仿宋_GB2312" w:cs="仿宋_GB2312" w:eastAsia="仿宋_GB2312"/>
                <w:sz w:val="20"/>
              </w:rPr>
              <w:t>3个系统的应用系统国产化适配工作，并以陕西省项目管理服务数字化平台为核心平台，实现项目管理条线系统（包含陕西省投资项目在线审批监管平台、津陕对口协作项目管理系统和“四个一批”重点项目管理平台）的整合及与委内一体化平台数据互通，对业务数据全部无损迁移，完成与三中枢两前端的对接，达到等级保护第三级和国产密码安全性第三级要求。本项目涉及系统范围如下：</w:t>
            </w:r>
          </w:p>
          <w:tbl>
            <w:tblPr>
              <w:tblInd w:type="dxa" w:w="255"/>
              <w:tblBorders>
                <w:top w:val="none" w:color="000000" w:sz="4"/>
                <w:left w:val="none" w:color="000000" w:sz="4"/>
                <w:bottom w:val="none" w:color="000000" w:sz="4"/>
                <w:right w:val="none" w:color="000000" w:sz="4"/>
                <w:insideH w:val="none"/>
                <w:insideV w:val="none"/>
              </w:tblBorders>
            </w:tblPr>
            <w:tblGrid>
              <w:gridCol w:w="274"/>
              <w:gridCol w:w="1398"/>
              <w:gridCol w:w="881"/>
            </w:tblGrid>
            <w:tr>
              <w:tc>
                <w:tcPr>
                  <w:tcW w:type="dxa" w:w="2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序号</w:t>
                  </w:r>
                </w:p>
              </w:tc>
              <w:tc>
                <w:tcPr>
                  <w:tcW w:type="dxa" w:w="13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系统名称</w:t>
                  </w:r>
                </w:p>
              </w:tc>
              <w:tc>
                <w:tcPr>
                  <w:tcW w:type="dxa" w:w="88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服务</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1</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陕西省项目管理服务数字化平台</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信创适配、迁移、整合</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2</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陕西省投资项目在线审批监管平台</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信创适配、迁移、整合</w:t>
                  </w:r>
                </w:p>
              </w:tc>
            </w:tr>
            <w:tr>
              <w:tc>
                <w:tcPr>
                  <w:tcW w:type="dxa" w:w="2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3</w:t>
                  </w:r>
                </w:p>
              </w:tc>
              <w:tc>
                <w:tcPr>
                  <w:tcW w:type="dxa" w:w="13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津陕对口协作项目管理系统</w:t>
                  </w:r>
                </w:p>
              </w:tc>
              <w:tc>
                <w:tcPr>
                  <w:tcW w:type="dxa" w:w="88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20"/>
                    </w:rPr>
                    <w:t>信创适配、迁移、整合</w:t>
                  </w:r>
                </w:p>
              </w:tc>
            </w:tr>
          </w:tbl>
          <w:p>
            <w:pPr>
              <w:pStyle w:val="null3"/>
            </w:pPr>
            <w:r>
              <w:rPr>
                <w:rFonts w:ascii="仿宋_GB2312" w:hAnsi="仿宋_GB2312" w:cs="仿宋_GB2312" w:eastAsia="仿宋_GB2312"/>
                <w:sz w:val="20"/>
              </w:rPr>
              <w:t>各系统现状如下：</w:t>
            </w:r>
          </w:p>
          <w:p>
            <w:pPr>
              <w:pStyle w:val="null3"/>
              <w:ind w:firstLine="402"/>
            </w:pPr>
            <w:r>
              <w:rPr>
                <w:rFonts w:ascii="仿宋_GB2312" w:hAnsi="仿宋_GB2312" w:cs="仿宋_GB2312" w:eastAsia="仿宋_GB2312"/>
                <w:sz w:val="20"/>
                <w:b/>
              </w:rPr>
              <w:t>1.陕西省项目管理服务数字化平台</w:t>
            </w:r>
          </w:p>
          <w:p>
            <w:pPr>
              <w:pStyle w:val="null3"/>
              <w:ind w:firstLine="400"/>
            </w:pPr>
            <w:r>
              <w:rPr>
                <w:rFonts w:ascii="仿宋_GB2312" w:hAnsi="仿宋_GB2312" w:cs="仿宋_GB2312" w:eastAsia="仿宋_GB2312"/>
                <w:sz w:val="20"/>
              </w:rPr>
              <w:t>主要功能：包括互联网门户和政务外网门户、重点项目库、项目监管系统、项目分析展示系统、项目观摩、投资评审数字化管控平台、技术中台、数据交换平台、数据资源库、系统对接服务、储备项目管理系统、移动端、微信端、互联网门户和政务外网门户、后台管理系统等内容。</w:t>
            </w:r>
          </w:p>
          <w:p>
            <w:pPr>
              <w:pStyle w:val="null3"/>
              <w:ind w:firstLine="400"/>
            </w:pPr>
            <w:r>
              <w:rPr>
                <w:rFonts w:ascii="仿宋_GB2312" w:hAnsi="仿宋_GB2312" w:cs="仿宋_GB2312" w:eastAsia="仿宋_GB2312"/>
                <w:sz w:val="20"/>
              </w:rPr>
              <w:t>部署位置：省政务云西咸节点</w:t>
            </w:r>
            <w:r>
              <w:rPr>
                <w:rFonts w:ascii="仿宋_GB2312" w:hAnsi="仿宋_GB2312" w:cs="仿宋_GB2312" w:eastAsia="仿宋_GB2312"/>
                <w:sz w:val="20"/>
              </w:rPr>
              <w:t>4（过渡）。</w:t>
            </w:r>
          </w:p>
          <w:p>
            <w:pPr>
              <w:pStyle w:val="null3"/>
              <w:ind w:firstLine="400"/>
            </w:pPr>
            <w:r>
              <w:rPr>
                <w:rFonts w:ascii="仿宋_GB2312" w:hAnsi="仿宋_GB2312" w:cs="仿宋_GB2312" w:eastAsia="仿宋_GB2312"/>
                <w:sz w:val="20"/>
              </w:rPr>
              <w:t>部署架构：分层架构。</w:t>
            </w:r>
          </w:p>
          <w:p>
            <w:pPr>
              <w:pStyle w:val="null3"/>
              <w:ind w:firstLine="400"/>
            </w:pPr>
            <w:r>
              <w:rPr>
                <w:rFonts w:ascii="仿宋_GB2312" w:hAnsi="仿宋_GB2312" w:cs="仿宋_GB2312" w:eastAsia="仿宋_GB2312"/>
                <w:sz w:val="20"/>
              </w:rPr>
              <w:t>用户接入方式：公务人员通过政务外网接入访问。</w:t>
            </w:r>
          </w:p>
          <w:p>
            <w:pPr>
              <w:pStyle w:val="null3"/>
              <w:ind w:firstLine="400"/>
            </w:pPr>
            <w:r>
              <w:rPr>
                <w:rFonts w:ascii="仿宋_GB2312" w:hAnsi="仿宋_GB2312" w:cs="仿宋_GB2312" w:eastAsia="仿宋_GB2312"/>
                <w:sz w:val="20"/>
              </w:rPr>
              <w:t>建设模式：采用联合设计模式，系统完全定制开发。</w:t>
            </w:r>
          </w:p>
          <w:p>
            <w:pPr>
              <w:pStyle w:val="null3"/>
              <w:ind w:firstLine="400"/>
            </w:pPr>
            <w:r>
              <w:rPr>
                <w:rFonts w:ascii="仿宋_GB2312" w:hAnsi="仿宋_GB2312" w:cs="仿宋_GB2312" w:eastAsia="仿宋_GB2312"/>
                <w:sz w:val="20"/>
              </w:rPr>
              <w:t>计算存储设备、操作系统、数据库、中间件等：</w:t>
            </w:r>
          </w:p>
          <w:p>
            <w:pPr>
              <w:pStyle w:val="null3"/>
            </w:pPr>
            <w:r>
              <w:rPr>
                <w:rFonts w:ascii="仿宋_GB2312" w:hAnsi="仿宋_GB2312" w:cs="仿宋_GB2312" w:eastAsia="仿宋_GB2312"/>
                <w:sz w:val="20"/>
              </w:rPr>
              <w:t xml:space="preserve">    操作系统：Windowsserver2012R</w:t>
            </w:r>
          </w:p>
          <w:p>
            <w:pPr>
              <w:pStyle w:val="null3"/>
            </w:pPr>
            <w:r>
              <w:rPr>
                <w:rFonts w:ascii="仿宋_GB2312" w:hAnsi="仿宋_GB2312" w:cs="仿宋_GB2312" w:eastAsia="仿宋_GB2312"/>
                <w:sz w:val="20"/>
              </w:rPr>
              <w:t xml:space="preserve">    中间件：tomcat（版本号9.0.95）；nginx（版本号1.22.0）</w:t>
            </w:r>
          </w:p>
          <w:p>
            <w:pPr>
              <w:pStyle w:val="null3"/>
            </w:pPr>
            <w:r>
              <w:rPr>
                <w:rFonts w:ascii="仿宋_GB2312" w:hAnsi="仿宋_GB2312" w:cs="仿宋_GB2312" w:eastAsia="仿宋_GB2312"/>
                <w:sz w:val="20"/>
              </w:rPr>
              <w:t xml:space="preserve">    数据库：Oracle（12c-12.2.0.1.0）</w:t>
            </w:r>
          </w:p>
          <w:p>
            <w:pPr>
              <w:pStyle w:val="null3"/>
            </w:pPr>
            <w:r>
              <w:rPr>
                <w:rFonts w:ascii="仿宋_GB2312" w:hAnsi="仿宋_GB2312" w:cs="仿宋_GB2312" w:eastAsia="仿宋_GB2312"/>
                <w:sz w:val="20"/>
              </w:rPr>
              <w:t xml:space="preserve">   软件架构：</w:t>
            </w:r>
          </w:p>
          <w:p>
            <w:pPr>
              <w:pStyle w:val="null3"/>
            </w:pPr>
            <w:r>
              <w:rPr>
                <w:rFonts w:ascii="仿宋_GB2312" w:hAnsi="仿宋_GB2312" w:cs="仿宋_GB2312" w:eastAsia="仿宋_GB2312"/>
                <w:sz w:val="20"/>
              </w:rPr>
              <w:t xml:space="preserve">   展示层：基于HTML/HTML5/Vue/CSS3开发web前端页面，兼容主流浏览器，展现层和数据层完全分离；</w:t>
            </w:r>
          </w:p>
          <w:p>
            <w:pPr>
              <w:pStyle w:val="null3"/>
            </w:pPr>
            <w:r>
              <w:rPr>
                <w:rFonts w:ascii="仿宋_GB2312" w:hAnsi="仿宋_GB2312" w:cs="仿宋_GB2312" w:eastAsia="仿宋_GB2312"/>
                <w:sz w:val="20"/>
              </w:rPr>
              <w:t xml:space="preserve">   业务应用层：项目基于JAVA开发，所应用的开发框架为Spring；</w:t>
            </w:r>
          </w:p>
          <w:p>
            <w:pPr>
              <w:pStyle w:val="null3"/>
              <w:ind w:firstLine="400"/>
            </w:pPr>
            <w:r>
              <w:rPr>
                <w:rFonts w:ascii="仿宋_GB2312" w:hAnsi="仿宋_GB2312" w:cs="仿宋_GB2312" w:eastAsia="仿宋_GB2312"/>
                <w:sz w:val="20"/>
              </w:rPr>
              <w:t>应用支撑层：描述应用支撑所使用的技术为</w:t>
            </w:r>
            <w:r>
              <w:rPr>
                <w:rFonts w:ascii="仿宋_GB2312" w:hAnsi="仿宋_GB2312" w:cs="仿宋_GB2312" w:eastAsia="仿宋_GB2312"/>
                <w:sz w:val="20"/>
              </w:rPr>
              <w:t>PAAS服务；</w:t>
            </w:r>
          </w:p>
          <w:p>
            <w:pPr>
              <w:pStyle w:val="null3"/>
            </w:pPr>
            <w:r>
              <w:rPr>
                <w:rFonts w:ascii="仿宋_GB2312" w:hAnsi="仿宋_GB2312" w:cs="仿宋_GB2312" w:eastAsia="仿宋_GB2312"/>
                <w:sz w:val="20"/>
              </w:rPr>
              <w:t xml:space="preserve">    数据层：采用DaaS平台处理数据；</w:t>
            </w:r>
          </w:p>
          <w:p>
            <w:pPr>
              <w:pStyle w:val="null3"/>
            </w:pPr>
            <w:r>
              <w:rPr>
                <w:rFonts w:ascii="仿宋_GB2312" w:hAnsi="仿宋_GB2312" w:cs="仿宋_GB2312" w:eastAsia="仿宋_GB2312"/>
                <w:sz w:val="20"/>
              </w:rPr>
              <w:t xml:space="preserve">    基础资源层：采用省政务云平台进行搭建。</w:t>
            </w:r>
          </w:p>
          <w:p>
            <w:pPr>
              <w:pStyle w:val="null3"/>
              <w:ind w:firstLine="402"/>
            </w:pPr>
            <w:r>
              <w:rPr>
                <w:rFonts w:ascii="仿宋_GB2312" w:hAnsi="仿宋_GB2312" w:cs="仿宋_GB2312" w:eastAsia="仿宋_GB2312"/>
                <w:sz w:val="20"/>
                <w:b/>
              </w:rPr>
              <w:t>2.陕西省投资项目在线审批监管平台</w:t>
            </w:r>
          </w:p>
          <w:p>
            <w:pPr>
              <w:pStyle w:val="null3"/>
              <w:ind w:firstLine="400"/>
            </w:pPr>
            <w:r>
              <w:rPr>
                <w:rFonts w:ascii="仿宋_GB2312" w:hAnsi="仿宋_GB2312" w:cs="仿宋_GB2312" w:eastAsia="仿宋_GB2312"/>
                <w:sz w:val="20"/>
              </w:rPr>
              <w:t>主要功能：</w:t>
            </w:r>
          </w:p>
          <w:p>
            <w:pPr>
              <w:pStyle w:val="null3"/>
              <w:ind w:firstLine="400"/>
            </w:pPr>
            <w:r>
              <w:rPr>
                <w:rFonts w:ascii="仿宋_GB2312" w:hAnsi="仿宋_GB2312" w:cs="仿宋_GB2312" w:eastAsia="仿宋_GB2312"/>
                <w:sz w:val="20"/>
              </w:rPr>
              <w:t>1）全省统一的投资项目申报系统，主要包括网上申报、进度查询、结果公示、办事指南、在线咨询、信息发布等功能。</w:t>
            </w:r>
          </w:p>
          <w:p>
            <w:pPr>
              <w:pStyle w:val="null3"/>
              <w:ind w:firstLine="400"/>
            </w:pPr>
            <w:r>
              <w:rPr>
                <w:rFonts w:ascii="仿宋_GB2312" w:hAnsi="仿宋_GB2312" w:cs="仿宋_GB2312" w:eastAsia="仿宋_GB2312"/>
                <w:sz w:val="20"/>
              </w:rPr>
              <w:t>2）投资项目并联审批系统。按照全面覆盖、全程在线、全系统共用的要求，采取组件化增量式开发模式，建设并联审批系统。主要包括项目登记、统一赋码、一表流转、并联审批、信息共享、统计分析等功能。</w:t>
            </w:r>
          </w:p>
          <w:p>
            <w:pPr>
              <w:pStyle w:val="null3"/>
              <w:ind w:firstLine="400"/>
            </w:pPr>
            <w:r>
              <w:rPr>
                <w:rFonts w:ascii="仿宋_GB2312" w:hAnsi="仿宋_GB2312" w:cs="仿宋_GB2312" w:eastAsia="仿宋_GB2312"/>
                <w:sz w:val="20"/>
              </w:rPr>
              <w:t>3）投资项目审批电子监察系统。对在线审批监管平台所有投资项目审批事项实现全过程监督、检查并进行绩效考核。主要包括实时监察、催办督办、绩效评估等功能。</w:t>
            </w:r>
          </w:p>
          <w:p>
            <w:pPr>
              <w:pStyle w:val="null3"/>
              <w:ind w:firstLine="400"/>
            </w:pPr>
            <w:r>
              <w:rPr>
                <w:rFonts w:ascii="仿宋_GB2312" w:hAnsi="仿宋_GB2312" w:cs="仿宋_GB2312" w:eastAsia="仿宋_GB2312"/>
                <w:sz w:val="20"/>
              </w:rPr>
              <w:t>4）投资项目监管系统。对项目审批、业主开工建设、中介机构服务资质和质量、企业信用等信息的采集、汇总、分析以及监管。主要包括投资项目建设信息在线报告、中介机构名单和资质管理、企业和中介机构信用档案等功能。</w:t>
            </w:r>
          </w:p>
          <w:p>
            <w:pPr>
              <w:pStyle w:val="null3"/>
              <w:ind w:firstLine="400"/>
            </w:pPr>
            <w:r>
              <w:rPr>
                <w:rFonts w:ascii="仿宋_GB2312" w:hAnsi="仿宋_GB2312" w:cs="仿宋_GB2312" w:eastAsia="仿宋_GB2312"/>
                <w:sz w:val="20"/>
              </w:rPr>
              <w:t>5）全文检索功能。对存储在系统中的数据及文件内容进行快速有效地检索和分析。</w:t>
            </w:r>
          </w:p>
          <w:p>
            <w:pPr>
              <w:pStyle w:val="null3"/>
              <w:ind w:firstLine="400"/>
            </w:pPr>
            <w:r>
              <w:rPr>
                <w:rFonts w:ascii="仿宋_GB2312" w:hAnsi="仿宋_GB2312" w:cs="仿宋_GB2312" w:eastAsia="仿宋_GB2312"/>
                <w:sz w:val="20"/>
              </w:rPr>
              <w:t>6）智能应答系统，系统建设知识库运作体系，采用智能应答方式自动回复项目申报企业关于系统使用情况、业务咨询等方面的问题。</w:t>
            </w:r>
          </w:p>
          <w:p>
            <w:pPr>
              <w:pStyle w:val="null3"/>
              <w:ind w:firstLine="400"/>
            </w:pPr>
            <w:r>
              <w:rPr>
                <w:rFonts w:ascii="仿宋_GB2312" w:hAnsi="仿宋_GB2312" w:cs="仿宋_GB2312" w:eastAsia="仿宋_GB2312"/>
                <w:sz w:val="20"/>
              </w:rPr>
              <w:t>7）专项资金管理功能，按照规则分配省里专项资金扶持特定项目。</w:t>
            </w:r>
          </w:p>
          <w:p>
            <w:pPr>
              <w:pStyle w:val="null3"/>
              <w:ind w:firstLine="400"/>
            </w:pPr>
            <w:r>
              <w:rPr>
                <w:rFonts w:ascii="仿宋_GB2312" w:hAnsi="仿宋_GB2312" w:cs="仿宋_GB2312" w:eastAsia="仿宋_GB2312"/>
                <w:sz w:val="20"/>
              </w:rPr>
              <w:t>8）PPP项目管理功能，实现PPP项目申报和审核流程，项目转交PPP项目中标单位管理。</w:t>
            </w:r>
          </w:p>
          <w:p>
            <w:pPr>
              <w:pStyle w:val="null3"/>
              <w:ind w:firstLine="400"/>
            </w:pPr>
            <w:r>
              <w:rPr>
                <w:rFonts w:ascii="仿宋_GB2312" w:hAnsi="仿宋_GB2312" w:cs="仿宋_GB2312" w:eastAsia="仿宋_GB2312"/>
                <w:sz w:val="20"/>
              </w:rPr>
              <w:t>9）民间资本推介管理功能，实现项目申报、审核、储备功能</w:t>
            </w:r>
          </w:p>
          <w:p>
            <w:pPr>
              <w:pStyle w:val="null3"/>
              <w:ind w:firstLine="400"/>
            </w:pPr>
            <w:r>
              <w:rPr>
                <w:rFonts w:ascii="仿宋_GB2312" w:hAnsi="仿宋_GB2312" w:cs="仿宋_GB2312" w:eastAsia="仿宋_GB2312"/>
                <w:sz w:val="20"/>
              </w:rPr>
              <w:t>部署位置：省政务云西咸节点</w:t>
            </w:r>
            <w:r>
              <w:rPr>
                <w:rFonts w:ascii="仿宋_GB2312" w:hAnsi="仿宋_GB2312" w:cs="仿宋_GB2312" w:eastAsia="仿宋_GB2312"/>
                <w:sz w:val="20"/>
              </w:rPr>
              <w:t>4（过渡）。</w:t>
            </w:r>
          </w:p>
          <w:p>
            <w:pPr>
              <w:pStyle w:val="null3"/>
              <w:ind w:firstLine="400"/>
            </w:pPr>
            <w:r>
              <w:rPr>
                <w:rFonts w:ascii="仿宋_GB2312" w:hAnsi="仿宋_GB2312" w:cs="仿宋_GB2312" w:eastAsia="仿宋_GB2312"/>
                <w:sz w:val="20"/>
              </w:rPr>
              <w:t>部署架构：分层架构。</w:t>
            </w:r>
          </w:p>
          <w:p>
            <w:pPr>
              <w:pStyle w:val="null3"/>
              <w:ind w:firstLine="400"/>
            </w:pPr>
            <w:r>
              <w:rPr>
                <w:rFonts w:ascii="仿宋_GB2312" w:hAnsi="仿宋_GB2312" w:cs="仿宋_GB2312" w:eastAsia="仿宋_GB2312"/>
                <w:sz w:val="20"/>
              </w:rPr>
              <w:t>用户接入方式：公务人员通过政务外网接入访问，企业群众通过互联网接入访问。</w:t>
            </w:r>
          </w:p>
          <w:p>
            <w:pPr>
              <w:pStyle w:val="null3"/>
              <w:ind w:firstLine="400"/>
            </w:pPr>
            <w:r>
              <w:rPr>
                <w:rFonts w:ascii="仿宋_GB2312" w:hAnsi="仿宋_GB2312" w:cs="仿宋_GB2312" w:eastAsia="仿宋_GB2312"/>
                <w:sz w:val="20"/>
              </w:rPr>
              <w:t>建设模式：采用联合设计模式，系统完全定制开发。</w:t>
            </w:r>
          </w:p>
          <w:p>
            <w:pPr>
              <w:pStyle w:val="null3"/>
              <w:ind w:firstLine="400"/>
            </w:pPr>
            <w:r>
              <w:rPr>
                <w:rFonts w:ascii="仿宋_GB2312" w:hAnsi="仿宋_GB2312" w:cs="仿宋_GB2312" w:eastAsia="仿宋_GB2312"/>
                <w:sz w:val="20"/>
              </w:rPr>
              <w:t>计算存储设备、操作系统、数据库、中间件等：</w:t>
            </w:r>
          </w:p>
          <w:p>
            <w:pPr>
              <w:pStyle w:val="null3"/>
            </w:pPr>
            <w:r>
              <w:rPr>
                <w:rFonts w:ascii="仿宋_GB2312" w:hAnsi="仿宋_GB2312" w:cs="仿宋_GB2312" w:eastAsia="仿宋_GB2312"/>
                <w:sz w:val="20"/>
              </w:rPr>
              <w:t xml:space="preserve">    操作系统：Windowsserver2012R</w:t>
            </w:r>
          </w:p>
          <w:p>
            <w:pPr>
              <w:pStyle w:val="null3"/>
            </w:pPr>
            <w:r>
              <w:rPr>
                <w:rFonts w:ascii="仿宋_GB2312" w:hAnsi="仿宋_GB2312" w:cs="仿宋_GB2312" w:eastAsia="仿宋_GB2312"/>
                <w:sz w:val="20"/>
              </w:rPr>
              <w:t xml:space="preserve">    中间件：tomcat（版本号9.0.95）；nginx（版本号1.22.0）</w:t>
            </w:r>
          </w:p>
          <w:p>
            <w:pPr>
              <w:pStyle w:val="null3"/>
            </w:pPr>
            <w:r>
              <w:rPr>
                <w:rFonts w:ascii="仿宋_GB2312" w:hAnsi="仿宋_GB2312" w:cs="仿宋_GB2312" w:eastAsia="仿宋_GB2312"/>
                <w:sz w:val="20"/>
              </w:rPr>
              <w:t xml:space="preserve">    数据库：Oracle（12c-12.2.0.1.0）</w:t>
            </w:r>
          </w:p>
          <w:p>
            <w:pPr>
              <w:pStyle w:val="null3"/>
            </w:pPr>
            <w:r>
              <w:rPr>
                <w:rFonts w:ascii="仿宋_GB2312" w:hAnsi="仿宋_GB2312" w:cs="仿宋_GB2312" w:eastAsia="仿宋_GB2312"/>
                <w:sz w:val="20"/>
              </w:rPr>
              <w:t xml:space="preserve">    软件架构：</w:t>
            </w:r>
          </w:p>
          <w:p>
            <w:pPr>
              <w:pStyle w:val="null3"/>
            </w:pPr>
            <w:r>
              <w:rPr>
                <w:rFonts w:ascii="仿宋_GB2312" w:hAnsi="仿宋_GB2312" w:cs="仿宋_GB2312" w:eastAsia="仿宋_GB2312"/>
                <w:sz w:val="20"/>
              </w:rPr>
              <w:t xml:space="preserve">    展示层：基于HTML/HTML5/Vue/CSS3开发web前端页面，兼容主流浏览器，展现层和数据层完全分离；</w:t>
            </w:r>
          </w:p>
          <w:p>
            <w:pPr>
              <w:pStyle w:val="null3"/>
            </w:pPr>
            <w:r>
              <w:rPr>
                <w:rFonts w:ascii="仿宋_GB2312" w:hAnsi="仿宋_GB2312" w:cs="仿宋_GB2312" w:eastAsia="仿宋_GB2312"/>
                <w:sz w:val="20"/>
              </w:rPr>
              <w:t xml:space="preserve">    业务应用层：项目基于JAVA开发，所应用的开发框架为Spring</w:t>
            </w:r>
            <w:r>
              <w:rPr>
                <w:rFonts w:ascii="仿宋_GB2312" w:hAnsi="仿宋_GB2312" w:cs="仿宋_GB2312" w:eastAsia="仿宋_GB2312"/>
                <w:sz w:val="20"/>
                <w:color w:val="0000FF"/>
              </w:rPr>
              <w:t>；</w:t>
            </w:r>
          </w:p>
          <w:p>
            <w:pPr>
              <w:pStyle w:val="null3"/>
            </w:pPr>
            <w:r>
              <w:rPr>
                <w:rFonts w:ascii="仿宋_GB2312" w:hAnsi="仿宋_GB2312" w:cs="仿宋_GB2312" w:eastAsia="仿宋_GB2312"/>
                <w:sz w:val="20"/>
              </w:rPr>
              <w:t xml:space="preserve">    应用支撑层：描述应用支撑所使用的技术为PAAS服务；</w:t>
            </w:r>
          </w:p>
          <w:p>
            <w:pPr>
              <w:pStyle w:val="null3"/>
            </w:pPr>
            <w:r>
              <w:rPr>
                <w:rFonts w:ascii="仿宋_GB2312" w:hAnsi="仿宋_GB2312" w:cs="仿宋_GB2312" w:eastAsia="仿宋_GB2312"/>
                <w:sz w:val="20"/>
              </w:rPr>
              <w:t xml:space="preserve">    数据层：采用DaaS平台处理数据；</w:t>
            </w:r>
          </w:p>
          <w:p>
            <w:pPr>
              <w:pStyle w:val="null3"/>
            </w:pPr>
            <w:r>
              <w:rPr>
                <w:rFonts w:ascii="仿宋_GB2312" w:hAnsi="仿宋_GB2312" w:cs="仿宋_GB2312" w:eastAsia="仿宋_GB2312"/>
                <w:sz w:val="20"/>
              </w:rPr>
              <w:t xml:space="preserve">    基础资源层：采用省政务云平台进行搭建。</w:t>
            </w:r>
          </w:p>
          <w:p>
            <w:pPr>
              <w:pStyle w:val="null3"/>
              <w:ind w:firstLine="402"/>
            </w:pPr>
            <w:r>
              <w:rPr>
                <w:rFonts w:ascii="仿宋_GB2312" w:hAnsi="仿宋_GB2312" w:cs="仿宋_GB2312" w:eastAsia="仿宋_GB2312"/>
                <w:sz w:val="20"/>
                <w:b/>
              </w:rPr>
              <w:t>3.津陕对口协作项目管理系统</w:t>
            </w:r>
          </w:p>
          <w:p>
            <w:pPr>
              <w:pStyle w:val="null3"/>
              <w:ind w:left="420"/>
            </w:pPr>
            <w:r>
              <w:rPr>
                <w:rFonts w:ascii="仿宋_GB2312" w:hAnsi="仿宋_GB2312" w:cs="仿宋_GB2312" w:eastAsia="仿宋_GB2312"/>
                <w:sz w:val="20"/>
              </w:rPr>
              <w:t>主要功能：数据填报、数据审核、填报预警、数据明细查询、图表展示分析、报表导出、填报考核、系统管理等</w:t>
            </w:r>
          </w:p>
          <w:p>
            <w:pPr>
              <w:pStyle w:val="null3"/>
              <w:ind w:firstLine="400"/>
            </w:pPr>
            <w:r>
              <w:rPr>
                <w:rFonts w:ascii="仿宋_GB2312" w:hAnsi="仿宋_GB2312" w:cs="仿宋_GB2312" w:eastAsia="仿宋_GB2312"/>
                <w:sz w:val="20"/>
              </w:rPr>
              <w:t>部署位置：省政务云西咸节点</w:t>
            </w:r>
            <w:r>
              <w:rPr>
                <w:rFonts w:ascii="仿宋_GB2312" w:hAnsi="仿宋_GB2312" w:cs="仿宋_GB2312" w:eastAsia="仿宋_GB2312"/>
                <w:sz w:val="20"/>
              </w:rPr>
              <w:t>4（过渡）。</w:t>
            </w:r>
          </w:p>
          <w:p>
            <w:pPr>
              <w:pStyle w:val="null3"/>
              <w:ind w:firstLine="400"/>
            </w:pPr>
            <w:r>
              <w:rPr>
                <w:rFonts w:ascii="仿宋_GB2312" w:hAnsi="仿宋_GB2312" w:cs="仿宋_GB2312" w:eastAsia="仿宋_GB2312"/>
                <w:sz w:val="20"/>
              </w:rPr>
              <w:t>部署架构：分层架构。</w:t>
            </w:r>
          </w:p>
          <w:p>
            <w:pPr>
              <w:pStyle w:val="null3"/>
              <w:ind w:firstLine="400"/>
            </w:pPr>
            <w:r>
              <w:rPr>
                <w:rFonts w:ascii="仿宋_GB2312" w:hAnsi="仿宋_GB2312" w:cs="仿宋_GB2312" w:eastAsia="仿宋_GB2312"/>
                <w:sz w:val="20"/>
              </w:rPr>
              <w:t>用户接入方式：公务人员通过互联网接入访问。</w:t>
            </w:r>
          </w:p>
          <w:p>
            <w:pPr>
              <w:pStyle w:val="null3"/>
              <w:ind w:firstLine="400"/>
            </w:pPr>
            <w:r>
              <w:rPr>
                <w:rFonts w:ascii="仿宋_GB2312" w:hAnsi="仿宋_GB2312" w:cs="仿宋_GB2312" w:eastAsia="仿宋_GB2312"/>
                <w:sz w:val="20"/>
              </w:rPr>
              <w:t>建设模式：采用联合设计模式，系统完全定制开发。</w:t>
            </w:r>
          </w:p>
          <w:p>
            <w:pPr>
              <w:pStyle w:val="null3"/>
              <w:ind w:firstLine="400"/>
            </w:pPr>
            <w:r>
              <w:rPr>
                <w:rFonts w:ascii="仿宋_GB2312" w:hAnsi="仿宋_GB2312" w:cs="仿宋_GB2312" w:eastAsia="仿宋_GB2312"/>
                <w:sz w:val="20"/>
              </w:rPr>
              <w:t>计算存储设备、操作系统、数据库、中间件等：</w:t>
            </w:r>
          </w:p>
          <w:p>
            <w:pPr>
              <w:pStyle w:val="null3"/>
            </w:pPr>
            <w:r>
              <w:rPr>
                <w:rFonts w:ascii="仿宋_GB2312" w:hAnsi="仿宋_GB2312" w:cs="仿宋_GB2312" w:eastAsia="仿宋_GB2312"/>
                <w:sz w:val="20"/>
              </w:rPr>
              <w:t xml:space="preserve">    操作系统：Windowsserver2012R</w:t>
            </w:r>
          </w:p>
          <w:p>
            <w:pPr>
              <w:pStyle w:val="null3"/>
            </w:pPr>
            <w:r>
              <w:rPr>
                <w:rFonts w:ascii="仿宋_GB2312" w:hAnsi="仿宋_GB2312" w:cs="仿宋_GB2312" w:eastAsia="仿宋_GB2312"/>
                <w:sz w:val="20"/>
              </w:rPr>
              <w:t xml:space="preserve">    中间件：tomcat（版本号9.0.95）；nginx（版本号1.22.0）</w:t>
            </w:r>
          </w:p>
          <w:p>
            <w:pPr>
              <w:pStyle w:val="null3"/>
            </w:pPr>
            <w:r>
              <w:rPr>
                <w:rFonts w:ascii="仿宋_GB2312" w:hAnsi="仿宋_GB2312" w:cs="仿宋_GB2312" w:eastAsia="仿宋_GB2312"/>
                <w:sz w:val="20"/>
              </w:rPr>
              <w:t xml:space="preserve">    数据库：Oracle（12c-12.2.0.1.0）</w:t>
            </w:r>
          </w:p>
          <w:p>
            <w:pPr>
              <w:pStyle w:val="null3"/>
            </w:pPr>
            <w:r>
              <w:rPr>
                <w:rFonts w:ascii="仿宋_GB2312" w:hAnsi="仿宋_GB2312" w:cs="仿宋_GB2312" w:eastAsia="仿宋_GB2312"/>
                <w:sz w:val="20"/>
              </w:rPr>
              <w:t xml:space="preserve">    软件架构：</w:t>
            </w:r>
          </w:p>
          <w:p>
            <w:pPr>
              <w:pStyle w:val="null3"/>
            </w:pPr>
            <w:r>
              <w:rPr>
                <w:rFonts w:ascii="仿宋_GB2312" w:hAnsi="仿宋_GB2312" w:cs="仿宋_GB2312" w:eastAsia="仿宋_GB2312"/>
                <w:sz w:val="20"/>
              </w:rPr>
              <w:t xml:space="preserve">    展示层：基于HTML/HTML5/Vue/CSS3开发web前端页面，兼容主流浏览器，展现层和数据层完全分离；</w:t>
            </w:r>
          </w:p>
          <w:p>
            <w:pPr>
              <w:pStyle w:val="null3"/>
            </w:pPr>
            <w:r>
              <w:rPr>
                <w:rFonts w:ascii="仿宋_GB2312" w:hAnsi="仿宋_GB2312" w:cs="仿宋_GB2312" w:eastAsia="仿宋_GB2312"/>
                <w:sz w:val="20"/>
              </w:rPr>
              <w:t xml:space="preserve">    业务应用层：项目基于JAVA开发，所应用的开发框架为Spring</w:t>
            </w:r>
            <w:r>
              <w:rPr>
                <w:rFonts w:ascii="仿宋_GB2312" w:hAnsi="仿宋_GB2312" w:cs="仿宋_GB2312" w:eastAsia="仿宋_GB2312"/>
                <w:sz w:val="20"/>
                <w:color w:val="0000FF"/>
              </w:rPr>
              <w:t>；</w:t>
            </w:r>
          </w:p>
          <w:p>
            <w:pPr>
              <w:pStyle w:val="null3"/>
            </w:pPr>
            <w:r>
              <w:rPr>
                <w:rFonts w:ascii="仿宋_GB2312" w:hAnsi="仿宋_GB2312" w:cs="仿宋_GB2312" w:eastAsia="仿宋_GB2312"/>
                <w:sz w:val="20"/>
              </w:rPr>
              <w:t xml:space="preserve">    应用支撑层：描述应用支撑所使用的技术为PAAS服务；</w:t>
            </w:r>
          </w:p>
          <w:p>
            <w:pPr>
              <w:pStyle w:val="null3"/>
            </w:pPr>
            <w:r>
              <w:rPr>
                <w:rFonts w:ascii="仿宋_GB2312" w:hAnsi="仿宋_GB2312" w:cs="仿宋_GB2312" w:eastAsia="仿宋_GB2312"/>
                <w:sz w:val="20"/>
              </w:rPr>
              <w:t xml:space="preserve">    数据层：采用DaaS平台处理数据；</w:t>
            </w:r>
          </w:p>
          <w:p>
            <w:pPr>
              <w:pStyle w:val="null3"/>
            </w:pPr>
            <w:r>
              <w:rPr>
                <w:rFonts w:ascii="仿宋_GB2312" w:hAnsi="仿宋_GB2312" w:cs="仿宋_GB2312" w:eastAsia="仿宋_GB2312"/>
                <w:sz w:val="20"/>
              </w:rPr>
              <w:t xml:space="preserve">    基础资源层：采用省政务云平台进行搭建。</w:t>
            </w:r>
          </w:p>
          <w:p>
            <w:pPr>
              <w:pStyle w:val="null3"/>
            </w:pPr>
            <w:r>
              <w:rPr>
                <w:rFonts w:ascii="仿宋_GB2312" w:hAnsi="仿宋_GB2312" w:cs="仿宋_GB2312" w:eastAsia="仿宋_GB2312"/>
                <w:sz w:val="20"/>
                <w:b/>
              </w:rPr>
              <w:t>二、信创适配要求</w:t>
            </w:r>
          </w:p>
          <w:p>
            <w:pPr>
              <w:pStyle w:val="null3"/>
              <w:ind w:left="420"/>
            </w:pPr>
            <w:r>
              <w:rPr>
                <w:rFonts w:ascii="仿宋_GB2312" w:hAnsi="仿宋_GB2312" w:cs="仿宋_GB2312" w:eastAsia="仿宋_GB2312"/>
                <w:sz w:val="20"/>
              </w:rPr>
              <w:t>（一）操作系统适配</w:t>
            </w:r>
          </w:p>
          <w:p>
            <w:pPr>
              <w:pStyle w:val="null3"/>
              <w:ind w:firstLine="400"/>
            </w:pPr>
            <w:r>
              <w:rPr>
                <w:rFonts w:ascii="仿宋_GB2312" w:hAnsi="仿宋_GB2312" w:cs="仿宋_GB2312" w:eastAsia="仿宋_GB2312"/>
                <w:sz w:val="20"/>
              </w:rPr>
              <w:t>通过对原应用系统进行针对性改造与适配，确保其在目标信创服务器操作系统</w:t>
            </w:r>
            <w:r>
              <w:rPr>
                <w:rFonts w:ascii="仿宋_GB2312" w:hAnsi="仿宋_GB2312" w:cs="仿宋_GB2312" w:eastAsia="仿宋_GB2312"/>
                <w:sz w:val="20"/>
              </w:rPr>
              <w:t>（如麒麟、统信</w:t>
            </w:r>
            <w:r>
              <w:rPr>
                <w:rFonts w:ascii="仿宋_GB2312" w:hAnsi="仿宋_GB2312" w:cs="仿宋_GB2312" w:eastAsia="仿宋_GB2312"/>
                <w:sz w:val="20"/>
              </w:rPr>
              <w:t>UOS等）</w:t>
            </w:r>
            <w:r>
              <w:rPr>
                <w:rFonts w:ascii="仿宋_GB2312" w:hAnsi="仿宋_GB2312" w:cs="仿宋_GB2312" w:eastAsia="仿宋_GB2312"/>
                <w:sz w:val="20"/>
              </w:rPr>
              <w:t>上实现稳定运行，同时保障系统功能完整性、兼容性、性能达标率及安全合规性，最终完成应用系统从非信创操作系统到信创操作系统的平滑迁移，构建全栈信创运行环境。</w:t>
            </w:r>
          </w:p>
          <w:p>
            <w:pPr>
              <w:pStyle w:val="null3"/>
              <w:ind w:firstLine="400"/>
            </w:pPr>
            <w:r>
              <w:rPr>
                <w:rFonts w:ascii="仿宋_GB2312" w:hAnsi="仿宋_GB2312" w:cs="仿宋_GB2312" w:eastAsia="仿宋_GB2312"/>
                <w:sz w:val="20"/>
              </w:rPr>
              <w:t>（二）数据库适配</w:t>
            </w:r>
          </w:p>
          <w:p>
            <w:pPr>
              <w:pStyle w:val="null3"/>
              <w:ind w:firstLine="400"/>
            </w:pPr>
            <w:r>
              <w:rPr>
                <w:rFonts w:ascii="仿宋_GB2312" w:hAnsi="仿宋_GB2312" w:cs="仿宋_GB2312" w:eastAsia="仿宋_GB2312"/>
                <w:sz w:val="20"/>
              </w:rPr>
              <w:t>通过对应用系统进行全方位改造，确保其能够与目标信创数据库</w:t>
            </w:r>
            <w:r>
              <w:rPr>
                <w:rFonts w:ascii="仿宋_GB2312" w:hAnsi="仿宋_GB2312" w:cs="仿宋_GB2312" w:eastAsia="仿宋_GB2312"/>
                <w:sz w:val="20"/>
              </w:rPr>
              <w:t>（如人大金仓、达梦等）</w:t>
            </w:r>
            <w:r>
              <w:rPr>
                <w:rFonts w:ascii="仿宋_GB2312" w:hAnsi="仿宋_GB2312" w:cs="仿宋_GB2312" w:eastAsia="仿宋_GB2312"/>
                <w:sz w:val="20"/>
              </w:rPr>
              <w:t>实现稳定交互和高效数据操作，同时保障系统功能完整性、数据一致性、性能稳定性及安全性，最终实现应用系统在信创环境下的平滑迁移与正常运行。适配工作包括：数据库驱动程序适配、</w:t>
            </w:r>
            <w:r>
              <w:rPr>
                <w:rFonts w:ascii="仿宋_GB2312" w:hAnsi="仿宋_GB2312" w:cs="仿宋_GB2312" w:eastAsia="仿宋_GB2312"/>
                <w:sz w:val="20"/>
              </w:rPr>
              <w:t>SQL语法适配、数据类型映射、数据库架构和模式适配、性能优化等内容。</w:t>
            </w:r>
          </w:p>
          <w:p>
            <w:pPr>
              <w:pStyle w:val="null3"/>
              <w:ind w:firstLine="400"/>
            </w:pPr>
            <w:r>
              <w:rPr>
                <w:rFonts w:ascii="仿宋_GB2312" w:hAnsi="仿宋_GB2312" w:cs="仿宋_GB2312" w:eastAsia="仿宋_GB2312"/>
                <w:sz w:val="20"/>
              </w:rPr>
              <w:t>（三）中间件适配</w:t>
            </w:r>
          </w:p>
          <w:p>
            <w:pPr>
              <w:pStyle w:val="null3"/>
              <w:ind w:firstLine="400"/>
            </w:pPr>
            <w:r>
              <w:rPr>
                <w:rFonts w:ascii="仿宋_GB2312" w:hAnsi="仿宋_GB2312" w:cs="仿宋_GB2312" w:eastAsia="仿宋_GB2312"/>
                <w:sz w:val="20"/>
              </w:rPr>
              <w:t>通过对应用系统与国产自主可控中间件的兼容性改造，确保其与目标信创中间件</w:t>
            </w:r>
            <w:r>
              <w:rPr>
                <w:rFonts w:ascii="仿宋_GB2312" w:hAnsi="仿宋_GB2312" w:cs="仿宋_GB2312" w:eastAsia="仿宋_GB2312"/>
                <w:sz w:val="20"/>
              </w:rPr>
              <w:t>（</w:t>
            </w:r>
            <w:r>
              <w:rPr>
                <w:rFonts w:ascii="仿宋_GB2312" w:hAnsi="仿宋_GB2312" w:cs="仿宋_GB2312" w:eastAsia="仿宋_GB2312"/>
                <w:sz w:val="20"/>
              </w:rPr>
              <w:t>如</w:t>
            </w:r>
            <w:r>
              <w:rPr>
                <w:rFonts w:ascii="仿宋_GB2312" w:hAnsi="仿宋_GB2312" w:cs="仿宋_GB2312" w:eastAsia="仿宋_GB2312"/>
                <w:sz w:val="21"/>
              </w:rPr>
              <w:t>东方通</w:t>
            </w:r>
            <w:r>
              <w:rPr>
                <w:rFonts w:ascii="仿宋_GB2312" w:hAnsi="仿宋_GB2312" w:cs="仿宋_GB2312" w:eastAsia="仿宋_GB2312"/>
                <w:sz w:val="21"/>
              </w:rPr>
              <w:t>TongWeb等</w:t>
            </w:r>
            <w:r>
              <w:rPr>
                <w:rFonts w:ascii="仿宋_GB2312" w:hAnsi="仿宋_GB2312" w:cs="仿宋_GB2312" w:eastAsia="仿宋_GB2312"/>
                <w:sz w:val="20"/>
              </w:rPr>
              <w:t>）</w:t>
            </w:r>
            <w:r>
              <w:rPr>
                <w:rFonts w:ascii="仿宋_GB2312" w:hAnsi="仿宋_GB2312" w:cs="仿宋_GB2312" w:eastAsia="仿宋_GB2312"/>
                <w:sz w:val="20"/>
              </w:rPr>
              <w:t>协调工作，稳定运行，实现</w:t>
            </w:r>
            <w:r>
              <w:rPr>
                <w:rFonts w:ascii="仿宋_GB2312" w:hAnsi="仿宋_GB2312" w:cs="仿宋_GB2312" w:eastAsia="仿宋_GB2312"/>
                <w:sz w:val="20"/>
              </w:rPr>
              <w:t>“功能无缺失、性能不降级、安全合规”的适配效果，构建符合信创标准的中间件支撑环境。</w:t>
            </w:r>
          </w:p>
          <w:p>
            <w:pPr>
              <w:pStyle w:val="null3"/>
              <w:ind w:firstLine="400"/>
            </w:pPr>
            <w:r>
              <w:rPr>
                <w:rFonts w:ascii="仿宋_GB2312" w:hAnsi="仿宋_GB2312" w:cs="仿宋_GB2312" w:eastAsia="仿宋_GB2312"/>
                <w:sz w:val="20"/>
              </w:rPr>
              <w:t>（四）浏览器适配</w:t>
            </w:r>
          </w:p>
          <w:p>
            <w:pPr>
              <w:pStyle w:val="null3"/>
              <w:ind w:firstLine="400"/>
            </w:pPr>
            <w:r>
              <w:rPr>
                <w:rFonts w:ascii="仿宋_GB2312" w:hAnsi="仿宋_GB2312" w:cs="仿宋_GB2312" w:eastAsia="仿宋_GB2312"/>
                <w:sz w:val="20"/>
              </w:rPr>
              <w:t>通过对原应用系统进行客户端层面的针对性改造与适配，确保其在目标信创浏览器和国产化设备上实现</w:t>
            </w:r>
            <w:r>
              <w:rPr>
                <w:rFonts w:ascii="仿宋_GB2312" w:hAnsi="仿宋_GB2312" w:cs="仿宋_GB2312" w:eastAsia="仿宋_GB2312"/>
                <w:sz w:val="20"/>
              </w:rPr>
              <w:t>“界面正常显示、功能完整可用、操作流畅稳定”，同时满足不同屏幕尺寸、分辨率的适配需求，最终为用户提供与非信创环境一致甚至更优的使用体验，保障业务高效开展。</w:t>
            </w:r>
          </w:p>
          <w:p>
            <w:pPr>
              <w:pStyle w:val="null3"/>
              <w:ind w:firstLine="400"/>
            </w:pPr>
            <w:r>
              <w:rPr>
                <w:rFonts w:ascii="仿宋_GB2312" w:hAnsi="仿宋_GB2312" w:cs="仿宋_GB2312" w:eastAsia="仿宋_GB2312"/>
                <w:sz w:val="20"/>
              </w:rPr>
              <w:t>（五）外设适配</w:t>
            </w:r>
          </w:p>
          <w:p>
            <w:pPr>
              <w:pStyle w:val="null3"/>
              <w:ind w:firstLine="400"/>
            </w:pPr>
            <w:r>
              <w:rPr>
                <w:rFonts w:ascii="仿宋_GB2312" w:hAnsi="仿宋_GB2312" w:cs="仿宋_GB2312" w:eastAsia="仿宋_GB2312"/>
                <w:sz w:val="20"/>
              </w:rPr>
              <w:t>聚焦应用系统依赖的大屏、打印机等特殊外设，明确适配目标、技术路径、验证标准及风险应对，确保信创环境下外设功能与业务场景无缝衔接。</w:t>
            </w:r>
          </w:p>
          <w:p>
            <w:pPr>
              <w:pStyle w:val="null3"/>
              <w:ind w:firstLine="400"/>
            </w:pPr>
            <w:r>
              <w:rPr>
                <w:rFonts w:ascii="仿宋_GB2312" w:hAnsi="仿宋_GB2312" w:cs="仿宋_GB2312" w:eastAsia="仿宋_GB2312"/>
                <w:sz w:val="20"/>
              </w:rPr>
              <w:t>（六）接口适配</w:t>
            </w:r>
          </w:p>
          <w:p>
            <w:pPr>
              <w:pStyle w:val="null3"/>
              <w:ind w:firstLine="400"/>
            </w:pPr>
            <w:r>
              <w:rPr>
                <w:rFonts w:ascii="仿宋_GB2312" w:hAnsi="仿宋_GB2312" w:cs="仿宋_GB2312" w:eastAsia="仿宋_GB2312"/>
                <w:sz w:val="20"/>
              </w:rPr>
              <w:t>需同时适配信创组件特性</w:t>
            </w:r>
            <w:r>
              <w:rPr>
                <w:rFonts w:ascii="仿宋_GB2312" w:hAnsi="仿宋_GB2312" w:cs="仿宋_GB2312" w:eastAsia="仿宋_GB2312"/>
                <w:sz w:val="21"/>
              </w:rPr>
              <w:t>（</w:t>
            </w:r>
            <w:r>
              <w:rPr>
                <w:rFonts w:ascii="仿宋_GB2312" w:hAnsi="仿宋_GB2312" w:cs="仿宋_GB2312" w:eastAsia="仿宋_GB2312"/>
                <w:sz w:val="21"/>
              </w:rPr>
              <w:t>如</w:t>
            </w:r>
            <w:r>
              <w:rPr>
                <w:rFonts w:ascii="仿宋_GB2312" w:hAnsi="仿宋_GB2312" w:cs="仿宋_GB2312" w:eastAsia="仿宋_GB2312"/>
                <w:sz w:val="21"/>
              </w:rPr>
              <w:t>TongWeb、达梦等）</w:t>
            </w:r>
            <w:r>
              <w:rPr>
                <w:rFonts w:ascii="仿宋_GB2312" w:hAnsi="仿宋_GB2312" w:cs="仿宋_GB2312" w:eastAsia="仿宋_GB2312"/>
                <w:sz w:val="20"/>
              </w:rPr>
              <w:t>与外部平台要求，避免后续适配冲突。</w:t>
            </w:r>
          </w:p>
          <w:p>
            <w:pPr>
              <w:pStyle w:val="null3"/>
            </w:pPr>
            <w:r>
              <w:rPr>
                <w:rFonts w:ascii="仿宋_GB2312" w:hAnsi="仿宋_GB2312" w:cs="仿宋_GB2312" w:eastAsia="仿宋_GB2312"/>
                <w:sz w:val="20"/>
                <w:b/>
              </w:rPr>
              <w:t>三、系统迁移要求</w:t>
            </w:r>
          </w:p>
          <w:p>
            <w:pPr>
              <w:pStyle w:val="null3"/>
              <w:ind w:firstLine="400"/>
            </w:pPr>
            <w:r>
              <w:rPr>
                <w:rFonts w:ascii="仿宋_GB2312" w:hAnsi="仿宋_GB2312" w:cs="仿宋_GB2312" w:eastAsia="仿宋_GB2312"/>
                <w:sz w:val="20"/>
              </w:rPr>
              <w:t>完全实现上述兼容性适配及功能优化调整后，在省级信创云平台中完成部署并稳定运行。系统部署运行后，实现现有数据迁移，并保持数据一致。</w:t>
            </w:r>
          </w:p>
          <w:p>
            <w:pPr>
              <w:pStyle w:val="null3"/>
            </w:pPr>
            <w:r>
              <w:rPr>
                <w:rFonts w:ascii="仿宋_GB2312" w:hAnsi="仿宋_GB2312" w:cs="仿宋_GB2312" w:eastAsia="仿宋_GB2312"/>
                <w:sz w:val="20"/>
                <w:b/>
              </w:rPr>
              <w:t>四、整合要求</w:t>
            </w:r>
          </w:p>
          <w:p>
            <w:pPr>
              <w:pStyle w:val="null3"/>
              <w:ind w:firstLine="400"/>
            </w:pPr>
            <w:r>
              <w:rPr>
                <w:rFonts w:ascii="仿宋_GB2312" w:hAnsi="仿宋_GB2312" w:cs="仿宋_GB2312" w:eastAsia="仿宋_GB2312"/>
                <w:sz w:val="20"/>
              </w:rPr>
              <w:t>以陕西省项目管理服务数字化平台为核心枢纽，实现与省数字资源管理平台、省级政务数据平台、数字化运维管理系统三大中枢，以及秦政通、秦务员两大前端的精准对接与协同联动，同时完成项目管理条线系统融合及委内平台数据互通。一是将津陕对口协作项目管理系统数据纳入省级政务数据平台对接范畴，实现与数字化运维管理系统、秦政通的全面对接，并按新要求拓展与秦务员的项目查询等对接内容；二是通过统一身份认证与数据标准接口，整合津陕对口协作项目管理系统、重点项目</w:t>
            </w:r>
            <w:r>
              <w:rPr>
                <w:rFonts w:ascii="仿宋_GB2312" w:hAnsi="仿宋_GB2312" w:cs="仿宋_GB2312" w:eastAsia="仿宋_GB2312"/>
                <w:sz w:val="20"/>
              </w:rPr>
              <w:t>“四个一批”管理系统，构建项目全生命周期管理闭环，实现数据互联互通与功能协同；三是依托秦政通完成与陕西省发展改革委政务一体化平台的单点登录，通过省级政务数据平台实现项目委托评估与评审流程的数据交互，最终形成“核心平台牵头、中枢前端支撑、条线委内贯通”的一体化政务协同体系。</w:t>
            </w:r>
          </w:p>
          <w:p>
            <w:pPr>
              <w:pStyle w:val="null3"/>
            </w:pPr>
            <w:r>
              <w:rPr>
                <w:rFonts w:ascii="仿宋_GB2312" w:hAnsi="仿宋_GB2312" w:cs="仿宋_GB2312" w:eastAsia="仿宋_GB2312"/>
                <w:sz w:val="20"/>
                <w:b/>
              </w:rPr>
              <w:t>五、服务要求</w:t>
            </w:r>
          </w:p>
          <w:p>
            <w:pPr>
              <w:pStyle w:val="null3"/>
              <w:ind w:firstLine="400"/>
            </w:pPr>
            <w:r>
              <w:rPr>
                <w:rFonts w:ascii="仿宋_GB2312" w:hAnsi="仿宋_GB2312" w:cs="仿宋_GB2312" w:eastAsia="仿宋_GB2312"/>
                <w:sz w:val="20"/>
              </w:rPr>
              <w:t>1.商用密码应用改造要求</w:t>
            </w:r>
          </w:p>
          <w:p>
            <w:pPr>
              <w:pStyle w:val="null3"/>
              <w:spacing w:after="165"/>
              <w:ind w:firstLine="400"/>
              <w:jc w:val="both"/>
            </w:pPr>
            <w:r>
              <w:rPr>
                <w:rFonts w:ascii="仿宋_GB2312" w:hAnsi="仿宋_GB2312" w:cs="仿宋_GB2312" w:eastAsia="仿宋_GB2312"/>
                <w:sz w:val="20"/>
              </w:rPr>
              <w:t>信创适配整合迁移完成后，系统安全保护等级为三级。供应商须配合做好商用密码应用改造，采用国产商用密码算法，确保系统顺利通过商用密码应用安全性评估。</w:t>
            </w:r>
          </w:p>
          <w:p>
            <w:pPr>
              <w:pStyle w:val="null3"/>
              <w:ind w:firstLine="400"/>
            </w:pPr>
            <w:r>
              <w:rPr>
                <w:rFonts w:ascii="仿宋_GB2312" w:hAnsi="仿宋_GB2312" w:cs="仿宋_GB2312" w:eastAsia="仿宋_GB2312"/>
                <w:sz w:val="20"/>
              </w:rPr>
              <w:t>2.性能要求</w:t>
            </w:r>
          </w:p>
          <w:p>
            <w:pPr>
              <w:pStyle w:val="null3"/>
              <w:ind w:firstLine="400"/>
            </w:pPr>
            <w:r>
              <w:rPr>
                <w:rFonts w:ascii="仿宋_GB2312" w:hAnsi="仿宋_GB2312" w:cs="仿宋_GB2312" w:eastAsia="仿宋_GB2312"/>
                <w:sz w:val="20"/>
              </w:rPr>
              <w:t>系统应达到或优于以下基本要求：</w:t>
            </w:r>
          </w:p>
          <w:p>
            <w:pPr>
              <w:pStyle w:val="null3"/>
              <w:ind w:firstLine="400"/>
            </w:pPr>
            <w:r>
              <w:rPr>
                <w:rFonts w:ascii="仿宋_GB2312" w:hAnsi="仿宋_GB2312" w:cs="仿宋_GB2312" w:eastAsia="仿宋_GB2312"/>
                <w:sz w:val="20"/>
              </w:rPr>
              <w:t>1）系统运行能满足100个以上用户并发使用。</w:t>
            </w:r>
          </w:p>
          <w:p>
            <w:pPr>
              <w:pStyle w:val="null3"/>
              <w:ind w:firstLine="400"/>
            </w:pPr>
            <w:r>
              <w:rPr>
                <w:rFonts w:ascii="仿宋_GB2312" w:hAnsi="仿宋_GB2312" w:cs="仿宋_GB2312" w:eastAsia="仿宋_GB2312"/>
                <w:sz w:val="20"/>
              </w:rPr>
              <w:t>2）系统能够7×24小时连续运行，平均年故障时间≤1天，平均故障修复时间≤30分钟。</w:t>
            </w:r>
          </w:p>
          <w:p>
            <w:pPr>
              <w:pStyle w:val="null3"/>
              <w:ind w:firstLine="400"/>
            </w:pPr>
            <w:r>
              <w:rPr>
                <w:rFonts w:ascii="仿宋_GB2312" w:hAnsi="仿宋_GB2312" w:cs="仿宋_GB2312" w:eastAsia="仿宋_GB2312"/>
                <w:sz w:val="20"/>
              </w:rPr>
              <w:t>3）在硬件和网络环境达标的前提下，在最大并发访问的情况下，系统操作界面响应时间≤3秒；数据查询效率：一般性数据查询平均响应时间≤3秒；在执行大数据量查询、统计、分析等耗时操作时，应给予进度指示或明确请求用户等待的状态提示。</w:t>
            </w:r>
          </w:p>
          <w:p>
            <w:pPr>
              <w:pStyle w:val="null3"/>
              <w:ind w:left="420"/>
            </w:pPr>
            <w:r>
              <w:rPr>
                <w:rFonts w:ascii="仿宋_GB2312" w:hAnsi="仿宋_GB2312" w:cs="仿宋_GB2312" w:eastAsia="仿宋_GB2312"/>
                <w:sz w:val="20"/>
              </w:rPr>
              <w:t>3.知识产权要求</w:t>
            </w:r>
          </w:p>
          <w:p>
            <w:pPr>
              <w:pStyle w:val="null3"/>
              <w:ind w:firstLine="400"/>
            </w:pPr>
            <w:r>
              <w:rPr>
                <w:rFonts w:ascii="仿宋_GB2312" w:hAnsi="仿宋_GB2312" w:cs="仿宋_GB2312" w:eastAsia="仿宋_GB2312"/>
                <w:sz w:val="20"/>
              </w:rPr>
              <w:t>系统（适配前及适配后）所有知识产权均为陕西省信息中心所有。</w:t>
            </w:r>
          </w:p>
          <w:p>
            <w:pPr>
              <w:pStyle w:val="null3"/>
              <w:ind w:firstLine="400"/>
            </w:pPr>
            <w:r>
              <w:rPr>
                <w:rFonts w:ascii="仿宋_GB2312" w:hAnsi="仿宋_GB2312" w:cs="仿宋_GB2312" w:eastAsia="仿宋_GB2312"/>
                <w:sz w:val="20"/>
              </w:rPr>
              <w:t>4.售后要求</w:t>
            </w:r>
          </w:p>
          <w:p>
            <w:pPr>
              <w:pStyle w:val="null3"/>
              <w:ind w:firstLine="400"/>
            </w:pPr>
            <w:r>
              <w:rPr>
                <w:rFonts w:ascii="仿宋_GB2312" w:hAnsi="仿宋_GB2312" w:cs="仿宋_GB2312" w:eastAsia="仿宋_GB2312"/>
                <w:sz w:val="20"/>
              </w:rPr>
              <w:t>项目团队需提供自终验结束之日起</w:t>
            </w:r>
            <w:r>
              <w:rPr>
                <w:rFonts w:ascii="仿宋_GB2312" w:hAnsi="仿宋_GB2312" w:cs="仿宋_GB2312" w:eastAsia="仿宋_GB2312"/>
                <w:sz w:val="20"/>
              </w:rPr>
              <w:t>1年的信创适配改造工作相关售后技术支持，提供1名符合要求的驻场人员；响应时间≤2小时，重大问题解决时间≤24小时。</w:t>
            </w:r>
          </w:p>
          <w:p>
            <w:pPr>
              <w:pStyle w:val="null3"/>
              <w:ind w:firstLine="400"/>
            </w:pPr>
            <w:r>
              <w:rPr>
                <w:rFonts w:ascii="仿宋_GB2312" w:hAnsi="仿宋_GB2312" w:cs="仿宋_GB2312" w:eastAsia="仿宋_GB2312"/>
                <w:sz w:val="20"/>
              </w:rPr>
              <w:t>5.培训要求</w:t>
            </w:r>
          </w:p>
          <w:p>
            <w:pPr>
              <w:pStyle w:val="null3"/>
              <w:ind w:firstLine="400"/>
            </w:pPr>
            <w:r>
              <w:rPr>
                <w:rFonts w:ascii="仿宋_GB2312" w:hAnsi="仿宋_GB2312" w:cs="仿宋_GB2312" w:eastAsia="仿宋_GB2312"/>
                <w:sz w:val="20"/>
              </w:rPr>
              <w:t>供应商须根据系统软件的功能和特点，针对不同用户角色进行不同培训，在投标文件中提出详细的系统培训方案。</w:t>
            </w:r>
          </w:p>
          <w:p>
            <w:pPr>
              <w:pStyle w:val="null3"/>
              <w:ind w:firstLine="400"/>
            </w:pPr>
            <w:r>
              <w:rPr>
                <w:rFonts w:ascii="仿宋_GB2312" w:hAnsi="仿宋_GB2312" w:cs="仿宋_GB2312" w:eastAsia="仿宋_GB2312"/>
                <w:sz w:val="20"/>
              </w:rPr>
              <w:t>6.保密要求</w:t>
            </w:r>
          </w:p>
          <w:p>
            <w:pPr>
              <w:pStyle w:val="null3"/>
            </w:pPr>
            <w:r>
              <w:rPr>
                <w:rFonts w:ascii="仿宋_GB2312" w:hAnsi="仿宋_GB2312" w:cs="仿宋_GB2312" w:eastAsia="仿宋_GB2312"/>
                <w:sz w:val="21"/>
              </w:rPr>
              <w:t>供应商必须提供对本项目的保密承诺，签订保密协议，保证对项目实施过程中产生的各类技术文件、信息以及由采购人提供的所有内部资料、技术文档和信息予以保密；未经采购人书面许可，供应商不得以任何形式向第三方透露本项目标书以及本项目的任何内容。</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标的名称：陕西省重点能耗在线监测系统信创适配整合迁移项目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一、项目基本情况</w:t>
            </w:r>
          </w:p>
          <w:p>
            <w:pPr>
              <w:pStyle w:val="null3"/>
              <w:ind w:firstLine="400"/>
            </w:pPr>
            <w:r>
              <w:rPr>
                <w:rFonts w:ascii="仿宋_GB2312" w:hAnsi="仿宋_GB2312" w:cs="仿宋_GB2312" w:eastAsia="仿宋_GB2312"/>
                <w:sz w:val="20"/>
              </w:rPr>
              <w:t>本项目内容为陕西省重点用能单位能耗在线监测系统的应用系统国产化适配工作，并将业务数据全部无损迁移至国产数据库中，项目完成后全部部署在西咸新区信创云，达到等级保护第三级要求和国产密码安全性第三级要求。系统实现与省数字资源管理平台、数字化运维管理系统两大中枢，以及秦政通前端的精准对接与协同联动。本项目涉及系统范围如下：</w:t>
            </w:r>
          </w:p>
          <w:tbl>
            <w:tblPr>
              <w:tblInd w:type="dxa" w:w="120"/>
              <w:tblBorders>
                <w:top w:val="none" w:color="000000" w:sz="4"/>
                <w:left w:val="none" w:color="000000" w:sz="4"/>
                <w:bottom w:val="none" w:color="000000" w:sz="4"/>
                <w:right w:val="none" w:color="000000" w:sz="4"/>
                <w:insideH w:val="none"/>
                <w:insideV w:val="none"/>
              </w:tblBorders>
            </w:tblPr>
            <w:tblGrid>
              <w:gridCol w:w="243"/>
              <w:gridCol w:w="1459"/>
              <w:gridCol w:w="851"/>
            </w:tblGrid>
            <w:tr>
              <w:tc>
                <w:tcPr>
                  <w:tcW w:type="dxa" w:w="2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序号</w:t>
                  </w:r>
                </w:p>
              </w:tc>
              <w:tc>
                <w:tcPr>
                  <w:tcW w:type="dxa" w:w="1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系统名称</w:t>
                  </w:r>
                </w:p>
              </w:tc>
              <w:tc>
                <w:tcPr>
                  <w:tcW w:type="dxa" w:w="8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服务</w:t>
                  </w:r>
                </w:p>
              </w:tc>
            </w:tr>
            <w:tr>
              <w:tc>
                <w:tcPr>
                  <w:tcW w:type="dxa" w:w="2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b/>
                    </w:rPr>
                    <w:t>1</w:t>
                  </w:r>
                </w:p>
              </w:tc>
              <w:tc>
                <w:tcPr>
                  <w:tcW w:type="dxa" w:w="1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陕西省重点用能单位能耗在线监测系统</w:t>
                  </w:r>
                </w:p>
              </w:tc>
              <w:tc>
                <w:tcPr>
                  <w:tcW w:type="dxa" w:w="8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0"/>
                    </w:rPr>
                    <w:t>信创适配、迁移</w:t>
                  </w:r>
                </w:p>
              </w:tc>
            </w:tr>
          </w:tbl>
          <w:p>
            <w:pPr>
              <w:pStyle w:val="null3"/>
              <w:ind w:firstLine="400"/>
            </w:pPr>
            <w:r>
              <w:rPr>
                <w:rFonts w:ascii="仿宋_GB2312" w:hAnsi="仿宋_GB2312" w:cs="仿宋_GB2312" w:eastAsia="仿宋_GB2312"/>
                <w:sz w:val="20"/>
              </w:rPr>
              <w:t>系统现状如下：</w:t>
            </w:r>
          </w:p>
          <w:p>
            <w:pPr>
              <w:pStyle w:val="null3"/>
              <w:ind w:firstLine="400"/>
            </w:pPr>
            <w:r>
              <w:rPr>
                <w:rFonts w:ascii="仿宋_GB2312" w:hAnsi="仿宋_GB2312" w:cs="仿宋_GB2312" w:eastAsia="仿宋_GB2312"/>
                <w:sz w:val="20"/>
              </w:rPr>
              <w:t>主要功能：接收用能单位上传的能耗数据，按统一的技术标准与国家平台进行数据对接，结合能源利用状况报告、节能监察、年度考核、节能审查，为政府相关部门和用能单位提供支持服务。</w:t>
            </w:r>
          </w:p>
          <w:p>
            <w:pPr>
              <w:pStyle w:val="null3"/>
              <w:ind w:firstLine="400"/>
            </w:pPr>
            <w:r>
              <w:rPr>
                <w:rFonts w:ascii="仿宋_GB2312" w:hAnsi="仿宋_GB2312" w:cs="仿宋_GB2312" w:eastAsia="仿宋_GB2312"/>
                <w:sz w:val="20"/>
              </w:rPr>
              <w:t>部署位置：省政务云西咸节点</w:t>
            </w:r>
            <w:r>
              <w:rPr>
                <w:rFonts w:ascii="仿宋_GB2312" w:hAnsi="仿宋_GB2312" w:cs="仿宋_GB2312" w:eastAsia="仿宋_GB2312"/>
                <w:sz w:val="20"/>
              </w:rPr>
              <w:t>4（过渡）。</w:t>
            </w:r>
          </w:p>
          <w:p>
            <w:pPr>
              <w:pStyle w:val="null3"/>
              <w:ind w:firstLine="400"/>
            </w:pPr>
            <w:r>
              <w:rPr>
                <w:rFonts w:ascii="仿宋_GB2312" w:hAnsi="仿宋_GB2312" w:cs="仿宋_GB2312" w:eastAsia="仿宋_GB2312"/>
                <w:sz w:val="20"/>
              </w:rPr>
              <w:t>部署架构：分层架构。</w:t>
            </w:r>
          </w:p>
          <w:p>
            <w:pPr>
              <w:pStyle w:val="null3"/>
              <w:ind w:firstLine="400"/>
            </w:pPr>
            <w:r>
              <w:rPr>
                <w:rFonts w:ascii="仿宋_GB2312" w:hAnsi="仿宋_GB2312" w:cs="仿宋_GB2312" w:eastAsia="仿宋_GB2312"/>
                <w:sz w:val="20"/>
              </w:rPr>
              <w:t>用户接入方式：公务人员通过政务外网或互联网接入访问，企业群众通过互联网接入访问。</w:t>
            </w:r>
          </w:p>
          <w:p>
            <w:pPr>
              <w:pStyle w:val="null3"/>
              <w:ind w:firstLine="400"/>
            </w:pPr>
            <w:r>
              <w:rPr>
                <w:rFonts w:ascii="仿宋_GB2312" w:hAnsi="仿宋_GB2312" w:cs="仿宋_GB2312" w:eastAsia="仿宋_GB2312"/>
                <w:sz w:val="20"/>
              </w:rPr>
              <w:t>建设模式：采用联合设计模式，系统完全定制开发。</w:t>
            </w:r>
          </w:p>
          <w:p>
            <w:pPr>
              <w:pStyle w:val="null3"/>
              <w:ind w:firstLine="400"/>
            </w:pPr>
            <w:r>
              <w:rPr>
                <w:rFonts w:ascii="仿宋_GB2312" w:hAnsi="仿宋_GB2312" w:cs="仿宋_GB2312" w:eastAsia="仿宋_GB2312"/>
                <w:sz w:val="20"/>
              </w:rPr>
              <w:t>计算存储设备、操作系统、数据库、中间件等：</w:t>
            </w:r>
          </w:p>
          <w:p>
            <w:pPr>
              <w:pStyle w:val="null3"/>
              <w:ind w:left="480"/>
            </w:pPr>
            <w:r>
              <w:rPr>
                <w:rFonts w:ascii="仿宋_GB2312" w:hAnsi="仿宋_GB2312" w:cs="仿宋_GB2312" w:eastAsia="仿宋_GB2312"/>
                <w:sz w:val="20"/>
              </w:rPr>
              <w:t>操作系统：</w:t>
            </w:r>
            <w:r>
              <w:rPr>
                <w:rFonts w:ascii="仿宋_GB2312" w:hAnsi="仿宋_GB2312" w:cs="仿宋_GB2312" w:eastAsia="仿宋_GB2312"/>
                <w:sz w:val="20"/>
              </w:rPr>
              <w:t>CENTOS_7.9、Windowsserver2016</w:t>
            </w:r>
          </w:p>
          <w:p>
            <w:pPr>
              <w:pStyle w:val="null3"/>
              <w:ind w:left="480"/>
            </w:pPr>
            <w:r>
              <w:rPr>
                <w:rFonts w:ascii="仿宋_GB2312" w:hAnsi="仿宋_GB2312" w:cs="仿宋_GB2312" w:eastAsia="仿宋_GB2312"/>
                <w:sz w:val="20"/>
              </w:rPr>
              <w:t>中间件：</w:t>
            </w:r>
            <w:r>
              <w:rPr>
                <w:rFonts w:ascii="仿宋_GB2312" w:hAnsi="仿宋_GB2312" w:cs="仿宋_GB2312" w:eastAsia="仿宋_GB2312"/>
                <w:sz w:val="20"/>
              </w:rPr>
              <w:t>wildfly（版本号15.0.0）；长亭雷池WAF</w:t>
            </w:r>
          </w:p>
          <w:p>
            <w:pPr>
              <w:pStyle w:val="null3"/>
              <w:ind w:left="480"/>
            </w:pPr>
            <w:r>
              <w:rPr>
                <w:rFonts w:ascii="仿宋_GB2312" w:hAnsi="仿宋_GB2312" w:cs="仿宋_GB2312" w:eastAsia="仿宋_GB2312"/>
                <w:sz w:val="20"/>
              </w:rPr>
              <w:t>数据库：</w:t>
            </w:r>
            <w:r>
              <w:rPr>
                <w:rFonts w:ascii="仿宋_GB2312" w:hAnsi="仿宋_GB2312" w:cs="仿宋_GB2312" w:eastAsia="仿宋_GB2312"/>
                <w:sz w:val="20"/>
              </w:rPr>
              <w:t>MariaDB（10.6.18）</w:t>
            </w:r>
          </w:p>
          <w:p>
            <w:pPr>
              <w:pStyle w:val="null3"/>
              <w:ind w:left="480"/>
            </w:pPr>
            <w:r>
              <w:rPr>
                <w:rFonts w:ascii="仿宋_GB2312" w:hAnsi="仿宋_GB2312" w:cs="仿宋_GB2312" w:eastAsia="仿宋_GB2312"/>
                <w:sz w:val="20"/>
              </w:rPr>
              <w:t>软件架构：</w:t>
            </w:r>
          </w:p>
          <w:p>
            <w:pPr>
              <w:pStyle w:val="null3"/>
              <w:ind w:left="480"/>
            </w:pPr>
            <w:r>
              <w:rPr>
                <w:rFonts w:ascii="仿宋_GB2312" w:hAnsi="仿宋_GB2312" w:cs="仿宋_GB2312" w:eastAsia="仿宋_GB2312"/>
                <w:sz w:val="20"/>
              </w:rPr>
              <w:t>展示层：基于</w:t>
            </w:r>
            <w:r>
              <w:rPr>
                <w:rFonts w:ascii="仿宋_GB2312" w:hAnsi="仿宋_GB2312" w:cs="仿宋_GB2312" w:eastAsia="仿宋_GB2312"/>
                <w:sz w:val="20"/>
              </w:rPr>
              <w:t>HTML/HTML5/Angular/CSS3开发web前端页面，兼容主流浏览器，展现层和数据层完全分离；</w:t>
            </w:r>
          </w:p>
          <w:p>
            <w:pPr>
              <w:pStyle w:val="null3"/>
              <w:ind w:left="480"/>
            </w:pPr>
            <w:r>
              <w:rPr>
                <w:rFonts w:ascii="仿宋_GB2312" w:hAnsi="仿宋_GB2312" w:cs="仿宋_GB2312" w:eastAsia="仿宋_GB2312"/>
                <w:sz w:val="20"/>
              </w:rPr>
              <w:t>业务应用层：项目基于</w:t>
            </w:r>
            <w:r>
              <w:rPr>
                <w:rFonts w:ascii="仿宋_GB2312" w:hAnsi="仿宋_GB2312" w:cs="仿宋_GB2312" w:eastAsia="仿宋_GB2312"/>
                <w:sz w:val="20"/>
              </w:rPr>
              <w:t>JAVA开发，所应用的开发框架为Spring；</w:t>
            </w:r>
          </w:p>
          <w:p>
            <w:pPr>
              <w:pStyle w:val="null3"/>
              <w:ind w:left="480"/>
            </w:pPr>
            <w:r>
              <w:rPr>
                <w:rFonts w:ascii="仿宋_GB2312" w:hAnsi="仿宋_GB2312" w:cs="仿宋_GB2312" w:eastAsia="仿宋_GB2312"/>
                <w:sz w:val="20"/>
              </w:rPr>
              <w:t>应用支撑层：描述应用支撑所使用的技术为</w:t>
            </w:r>
            <w:r>
              <w:rPr>
                <w:rFonts w:ascii="仿宋_GB2312" w:hAnsi="仿宋_GB2312" w:cs="仿宋_GB2312" w:eastAsia="仿宋_GB2312"/>
                <w:sz w:val="20"/>
              </w:rPr>
              <w:t>PAAS服务；</w:t>
            </w:r>
          </w:p>
          <w:p>
            <w:pPr>
              <w:pStyle w:val="null3"/>
              <w:ind w:left="480"/>
            </w:pPr>
            <w:r>
              <w:rPr>
                <w:rFonts w:ascii="仿宋_GB2312" w:hAnsi="仿宋_GB2312" w:cs="仿宋_GB2312" w:eastAsia="仿宋_GB2312"/>
                <w:sz w:val="20"/>
              </w:rPr>
              <w:t>数据层：采用</w:t>
            </w:r>
            <w:r>
              <w:rPr>
                <w:rFonts w:ascii="仿宋_GB2312" w:hAnsi="仿宋_GB2312" w:cs="仿宋_GB2312" w:eastAsia="仿宋_GB2312"/>
                <w:sz w:val="20"/>
              </w:rPr>
              <w:t>DaaS平台处理数据；</w:t>
            </w:r>
          </w:p>
          <w:p>
            <w:pPr>
              <w:pStyle w:val="null3"/>
              <w:ind w:left="480"/>
            </w:pPr>
            <w:r>
              <w:rPr>
                <w:rFonts w:ascii="仿宋_GB2312" w:hAnsi="仿宋_GB2312" w:cs="仿宋_GB2312" w:eastAsia="仿宋_GB2312"/>
                <w:sz w:val="20"/>
              </w:rPr>
              <w:t>基础资源层：采用省政务云平台进行搭建。</w:t>
            </w:r>
          </w:p>
          <w:p>
            <w:pPr>
              <w:pStyle w:val="null3"/>
            </w:pPr>
            <w:r>
              <w:rPr>
                <w:rFonts w:ascii="仿宋_GB2312" w:hAnsi="仿宋_GB2312" w:cs="仿宋_GB2312" w:eastAsia="仿宋_GB2312"/>
                <w:sz w:val="20"/>
                <w:b/>
              </w:rPr>
              <w:t>二、信创适配要求</w:t>
            </w:r>
          </w:p>
          <w:p>
            <w:pPr>
              <w:pStyle w:val="null3"/>
              <w:ind w:firstLine="400"/>
            </w:pPr>
            <w:r>
              <w:rPr>
                <w:rFonts w:ascii="仿宋_GB2312" w:hAnsi="仿宋_GB2312" w:cs="仿宋_GB2312" w:eastAsia="仿宋_GB2312"/>
                <w:sz w:val="20"/>
              </w:rPr>
              <w:t>1.操作系统适配</w:t>
            </w:r>
          </w:p>
          <w:p>
            <w:pPr>
              <w:pStyle w:val="null3"/>
              <w:ind w:firstLine="400"/>
            </w:pPr>
            <w:r>
              <w:rPr>
                <w:rFonts w:ascii="仿宋_GB2312" w:hAnsi="仿宋_GB2312" w:cs="仿宋_GB2312" w:eastAsia="仿宋_GB2312"/>
                <w:sz w:val="20"/>
              </w:rPr>
              <w:t>通过对原应用系统进行针对性改造与适配，确保其在目标信创服务器操作系统</w:t>
            </w:r>
            <w:r>
              <w:rPr>
                <w:rFonts w:ascii="仿宋_GB2312" w:hAnsi="仿宋_GB2312" w:cs="仿宋_GB2312" w:eastAsia="仿宋_GB2312"/>
                <w:sz w:val="20"/>
              </w:rPr>
              <w:t>（如麒麟、统信</w:t>
            </w:r>
            <w:r>
              <w:rPr>
                <w:rFonts w:ascii="仿宋_GB2312" w:hAnsi="仿宋_GB2312" w:cs="仿宋_GB2312" w:eastAsia="仿宋_GB2312"/>
                <w:sz w:val="20"/>
              </w:rPr>
              <w:t>UOS等）</w:t>
            </w:r>
            <w:r>
              <w:rPr>
                <w:rFonts w:ascii="仿宋_GB2312" w:hAnsi="仿宋_GB2312" w:cs="仿宋_GB2312" w:eastAsia="仿宋_GB2312"/>
                <w:sz w:val="20"/>
              </w:rPr>
              <w:t>上实现稳定运行，同时保障系统功能完整性、兼容性、性能达标率及安全合规性，最终完成应用系统从非信创操作系统到信创操作系统的平滑迁移，构建全栈信创运行环境。</w:t>
            </w:r>
          </w:p>
          <w:p>
            <w:pPr>
              <w:pStyle w:val="null3"/>
              <w:ind w:firstLine="400"/>
            </w:pPr>
            <w:r>
              <w:rPr>
                <w:rFonts w:ascii="仿宋_GB2312" w:hAnsi="仿宋_GB2312" w:cs="仿宋_GB2312" w:eastAsia="仿宋_GB2312"/>
                <w:sz w:val="20"/>
              </w:rPr>
              <w:t>2.数据库适配</w:t>
            </w:r>
          </w:p>
          <w:p>
            <w:pPr>
              <w:pStyle w:val="null3"/>
              <w:ind w:firstLine="400"/>
            </w:pPr>
            <w:r>
              <w:rPr>
                <w:rFonts w:ascii="仿宋_GB2312" w:hAnsi="仿宋_GB2312" w:cs="仿宋_GB2312" w:eastAsia="仿宋_GB2312"/>
                <w:sz w:val="20"/>
              </w:rPr>
              <w:t>通过对应用系统进行全方位改造，确保其能够与目标信创数据库</w:t>
            </w:r>
            <w:r>
              <w:rPr>
                <w:rFonts w:ascii="仿宋_GB2312" w:hAnsi="仿宋_GB2312" w:cs="仿宋_GB2312" w:eastAsia="仿宋_GB2312"/>
                <w:sz w:val="20"/>
              </w:rPr>
              <w:t>（如人大金仓、达梦等）</w:t>
            </w:r>
            <w:r>
              <w:rPr>
                <w:rFonts w:ascii="仿宋_GB2312" w:hAnsi="仿宋_GB2312" w:cs="仿宋_GB2312" w:eastAsia="仿宋_GB2312"/>
                <w:sz w:val="20"/>
              </w:rPr>
              <w:t>实现稳定交互和高效数据操作，同时保障系统功能完整性、数据一致性、性能稳定性及安全性，最终实现应用系统在信创环境下的平滑迁移与正常运行。适配工作包括：数据库驱动程序适配、</w:t>
            </w:r>
            <w:r>
              <w:rPr>
                <w:rFonts w:ascii="仿宋_GB2312" w:hAnsi="仿宋_GB2312" w:cs="仿宋_GB2312" w:eastAsia="仿宋_GB2312"/>
                <w:sz w:val="20"/>
              </w:rPr>
              <w:t>SQL语法适配、数据类型映射、数据库架构和模式适配、性能优化等内容。</w:t>
            </w:r>
          </w:p>
          <w:p>
            <w:pPr>
              <w:pStyle w:val="null3"/>
              <w:ind w:firstLine="400"/>
            </w:pPr>
            <w:r>
              <w:rPr>
                <w:rFonts w:ascii="仿宋_GB2312" w:hAnsi="仿宋_GB2312" w:cs="仿宋_GB2312" w:eastAsia="仿宋_GB2312"/>
                <w:sz w:val="20"/>
              </w:rPr>
              <w:t>3.中间件适配</w:t>
            </w:r>
          </w:p>
          <w:p>
            <w:pPr>
              <w:pStyle w:val="null3"/>
              <w:ind w:firstLine="400"/>
            </w:pPr>
            <w:r>
              <w:rPr>
                <w:rFonts w:ascii="仿宋_GB2312" w:hAnsi="仿宋_GB2312" w:cs="仿宋_GB2312" w:eastAsia="仿宋_GB2312"/>
                <w:sz w:val="20"/>
              </w:rPr>
              <w:t>通过对应用系统与国产自主可控中间件的兼容性改造，确保其与目标信创中间件</w:t>
            </w:r>
            <w:r>
              <w:rPr>
                <w:rFonts w:ascii="仿宋_GB2312" w:hAnsi="仿宋_GB2312" w:cs="仿宋_GB2312" w:eastAsia="仿宋_GB2312"/>
                <w:sz w:val="20"/>
              </w:rPr>
              <w:t>（如</w:t>
            </w:r>
            <w:r>
              <w:rPr>
                <w:rFonts w:ascii="仿宋_GB2312" w:hAnsi="仿宋_GB2312" w:cs="仿宋_GB2312" w:eastAsia="仿宋_GB2312"/>
                <w:sz w:val="21"/>
              </w:rPr>
              <w:t>东方通</w:t>
            </w:r>
            <w:r>
              <w:rPr>
                <w:rFonts w:ascii="仿宋_GB2312" w:hAnsi="仿宋_GB2312" w:cs="仿宋_GB2312" w:eastAsia="仿宋_GB2312"/>
                <w:sz w:val="21"/>
              </w:rPr>
              <w:t>TongWeb等</w:t>
            </w:r>
            <w:r>
              <w:rPr>
                <w:rFonts w:ascii="仿宋_GB2312" w:hAnsi="仿宋_GB2312" w:cs="仿宋_GB2312" w:eastAsia="仿宋_GB2312"/>
                <w:sz w:val="20"/>
              </w:rPr>
              <w:t>）</w:t>
            </w:r>
            <w:r>
              <w:rPr>
                <w:rFonts w:ascii="仿宋_GB2312" w:hAnsi="仿宋_GB2312" w:cs="仿宋_GB2312" w:eastAsia="仿宋_GB2312"/>
                <w:sz w:val="20"/>
              </w:rPr>
              <w:t>协调工作，稳定运行，实现</w:t>
            </w:r>
            <w:r>
              <w:rPr>
                <w:rFonts w:ascii="仿宋_GB2312" w:hAnsi="仿宋_GB2312" w:cs="仿宋_GB2312" w:eastAsia="仿宋_GB2312"/>
                <w:sz w:val="20"/>
              </w:rPr>
              <w:t>“功能无缺失、性能不降级、安全合规”的适配效果，构建符合信创标准的中间件支撑环境。</w:t>
            </w:r>
          </w:p>
          <w:p>
            <w:pPr>
              <w:pStyle w:val="null3"/>
              <w:ind w:firstLine="400"/>
            </w:pPr>
            <w:r>
              <w:rPr>
                <w:rFonts w:ascii="仿宋_GB2312" w:hAnsi="仿宋_GB2312" w:cs="仿宋_GB2312" w:eastAsia="仿宋_GB2312"/>
                <w:sz w:val="20"/>
              </w:rPr>
              <w:t>4.浏览器适配</w:t>
            </w:r>
          </w:p>
          <w:p>
            <w:pPr>
              <w:pStyle w:val="null3"/>
              <w:ind w:firstLine="400"/>
            </w:pPr>
            <w:r>
              <w:rPr>
                <w:rFonts w:ascii="仿宋_GB2312" w:hAnsi="仿宋_GB2312" w:cs="仿宋_GB2312" w:eastAsia="仿宋_GB2312"/>
                <w:sz w:val="20"/>
              </w:rPr>
              <w:t>通过对原应用系统进行客户端层面的针对性改造与适配，确保其在目标信创浏览器和国产化设备上实现</w:t>
            </w:r>
            <w:r>
              <w:rPr>
                <w:rFonts w:ascii="仿宋_GB2312" w:hAnsi="仿宋_GB2312" w:cs="仿宋_GB2312" w:eastAsia="仿宋_GB2312"/>
                <w:sz w:val="20"/>
              </w:rPr>
              <w:t>“界面正常显示、功能完整可用、操作流畅稳定”，同时满足不同屏幕尺寸、分辨率的适配需求，最终为用户提供与非信创环境一致甚至更优的使用体验，保障业务高效开展。</w:t>
            </w:r>
          </w:p>
          <w:p>
            <w:pPr>
              <w:pStyle w:val="null3"/>
              <w:ind w:firstLine="400"/>
            </w:pPr>
            <w:r>
              <w:rPr>
                <w:rFonts w:ascii="仿宋_GB2312" w:hAnsi="仿宋_GB2312" w:cs="仿宋_GB2312" w:eastAsia="仿宋_GB2312"/>
                <w:sz w:val="20"/>
              </w:rPr>
              <w:t>5.外设适配</w:t>
            </w:r>
          </w:p>
          <w:p>
            <w:pPr>
              <w:pStyle w:val="null3"/>
              <w:ind w:firstLine="400"/>
            </w:pPr>
            <w:r>
              <w:rPr>
                <w:rFonts w:ascii="仿宋_GB2312" w:hAnsi="仿宋_GB2312" w:cs="仿宋_GB2312" w:eastAsia="仿宋_GB2312"/>
                <w:sz w:val="20"/>
              </w:rPr>
              <w:t>聚焦应用系统依赖的大屏、打印机等特殊外设，明确适配目标、技术路径、验证标准及风险应对，确保信创环境下外设功能与业务场景无缝衔接。</w:t>
            </w:r>
          </w:p>
          <w:p>
            <w:pPr>
              <w:pStyle w:val="null3"/>
              <w:ind w:firstLine="400"/>
            </w:pPr>
            <w:r>
              <w:rPr>
                <w:rFonts w:ascii="仿宋_GB2312" w:hAnsi="仿宋_GB2312" w:cs="仿宋_GB2312" w:eastAsia="仿宋_GB2312"/>
                <w:sz w:val="20"/>
              </w:rPr>
              <w:t>6.接口适配</w:t>
            </w:r>
          </w:p>
          <w:p>
            <w:pPr>
              <w:pStyle w:val="null3"/>
              <w:ind w:firstLine="400"/>
            </w:pPr>
            <w:r>
              <w:rPr>
                <w:rFonts w:ascii="仿宋_GB2312" w:hAnsi="仿宋_GB2312" w:cs="仿宋_GB2312" w:eastAsia="仿宋_GB2312"/>
                <w:sz w:val="20"/>
              </w:rPr>
              <w:t>需同时适配信创组件特性与外部平台要求，避免后续适配冲突。</w:t>
            </w:r>
          </w:p>
          <w:p>
            <w:pPr>
              <w:pStyle w:val="null3"/>
            </w:pPr>
            <w:r>
              <w:rPr>
                <w:rFonts w:ascii="仿宋_GB2312" w:hAnsi="仿宋_GB2312" w:cs="仿宋_GB2312" w:eastAsia="仿宋_GB2312"/>
                <w:sz w:val="20"/>
                <w:b/>
              </w:rPr>
              <w:t>三、系统迁移要求</w:t>
            </w:r>
          </w:p>
          <w:p>
            <w:pPr>
              <w:pStyle w:val="null3"/>
              <w:ind w:firstLine="400"/>
            </w:pPr>
            <w:r>
              <w:rPr>
                <w:rFonts w:ascii="仿宋_GB2312" w:hAnsi="仿宋_GB2312" w:cs="仿宋_GB2312" w:eastAsia="仿宋_GB2312"/>
                <w:sz w:val="20"/>
              </w:rPr>
              <w:t>完全实现上述兼容性适配及功能优化调整后，在省级信创云平台中完成部署并稳定运行。系统部署运行后，实现现有数据迁移，并保持数据一致。</w:t>
            </w:r>
          </w:p>
          <w:p>
            <w:pPr>
              <w:pStyle w:val="null3"/>
              <w:ind w:firstLine="401"/>
            </w:pPr>
            <w:r>
              <w:rPr>
                <w:rFonts w:ascii="仿宋_GB2312" w:hAnsi="仿宋_GB2312" w:cs="仿宋_GB2312" w:eastAsia="仿宋_GB2312"/>
                <w:sz w:val="20"/>
                <w:b/>
              </w:rPr>
              <w:t>四、服务要求</w:t>
            </w:r>
          </w:p>
          <w:p>
            <w:pPr>
              <w:pStyle w:val="null3"/>
              <w:ind w:firstLine="400"/>
            </w:pPr>
            <w:r>
              <w:rPr>
                <w:rFonts w:ascii="仿宋_GB2312" w:hAnsi="仿宋_GB2312" w:cs="仿宋_GB2312" w:eastAsia="仿宋_GB2312"/>
                <w:sz w:val="20"/>
              </w:rPr>
              <w:t>1.安全要求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0"/>
              </w:rPr>
              <w:t>商用密码应用改造要求</w:t>
            </w:r>
          </w:p>
          <w:p>
            <w:pPr>
              <w:pStyle w:val="null3"/>
              <w:ind w:firstLine="400"/>
              <w:jc w:val="both"/>
            </w:pPr>
            <w:r>
              <w:rPr>
                <w:rFonts w:ascii="仿宋_GB2312" w:hAnsi="仿宋_GB2312" w:cs="仿宋_GB2312" w:eastAsia="仿宋_GB2312"/>
                <w:sz w:val="20"/>
              </w:rPr>
              <w:t>信创适配整合迁移完成后，系统安全保护等级为三级。供应商须配合做好商用密码应用改造，采用国产商用密码算法，确保系统顺利通过商用密码应用安全性评估。</w:t>
            </w:r>
          </w:p>
          <w:p>
            <w:pPr>
              <w:pStyle w:val="null3"/>
              <w:ind w:firstLine="400"/>
            </w:pPr>
            <w:r>
              <w:rPr>
                <w:rFonts w:ascii="仿宋_GB2312" w:hAnsi="仿宋_GB2312" w:cs="仿宋_GB2312" w:eastAsia="仿宋_GB2312"/>
                <w:sz w:val="20"/>
              </w:rPr>
              <w:t>2）等保服务要求</w:t>
            </w:r>
          </w:p>
          <w:p>
            <w:pPr>
              <w:pStyle w:val="null3"/>
              <w:ind w:firstLine="400"/>
              <w:jc w:val="both"/>
            </w:pPr>
            <w:r>
              <w:rPr>
                <w:rFonts w:ascii="仿宋_GB2312" w:hAnsi="仿宋_GB2312" w:cs="仿宋_GB2312" w:eastAsia="仿宋_GB2312"/>
                <w:sz w:val="20"/>
              </w:rPr>
              <w:t>按照《中华人民共和国网络安全法》《信息系统安全等级保护测评要求》（</w:t>
            </w:r>
            <w:r>
              <w:rPr>
                <w:rFonts w:ascii="仿宋_GB2312" w:hAnsi="仿宋_GB2312" w:cs="仿宋_GB2312" w:eastAsia="仿宋_GB2312"/>
                <w:sz w:val="20"/>
              </w:rPr>
              <w:t>GB/T28448-2019）等要求，对陕西省重点用能单位能耗在线监测系统从等保第二级升级到等保第三级进行改造，确保系统顺利通过等保测评，达到第三级的要求。</w:t>
            </w:r>
          </w:p>
          <w:p>
            <w:pPr>
              <w:pStyle w:val="null3"/>
              <w:ind w:firstLine="400"/>
              <w:jc w:val="both"/>
            </w:pPr>
            <w:r>
              <w:rPr>
                <w:rFonts w:ascii="仿宋_GB2312" w:hAnsi="仿宋_GB2312" w:cs="仿宋_GB2312" w:eastAsia="仿宋_GB2312"/>
                <w:sz w:val="20"/>
              </w:rPr>
              <w:t>2.性能要求</w:t>
            </w:r>
          </w:p>
          <w:p>
            <w:pPr>
              <w:pStyle w:val="null3"/>
              <w:ind w:firstLine="400"/>
              <w:jc w:val="both"/>
            </w:pPr>
            <w:r>
              <w:rPr>
                <w:rFonts w:ascii="仿宋_GB2312" w:hAnsi="仿宋_GB2312" w:cs="仿宋_GB2312" w:eastAsia="仿宋_GB2312"/>
                <w:sz w:val="20"/>
              </w:rPr>
              <w:t>系统应达到或优于以下基本要求：</w:t>
            </w:r>
          </w:p>
          <w:p>
            <w:pPr>
              <w:pStyle w:val="null3"/>
              <w:ind w:firstLine="400"/>
              <w:jc w:val="both"/>
            </w:pPr>
            <w:r>
              <w:rPr>
                <w:rFonts w:ascii="仿宋_GB2312" w:hAnsi="仿宋_GB2312" w:cs="仿宋_GB2312" w:eastAsia="仿宋_GB2312"/>
                <w:sz w:val="20"/>
              </w:rPr>
              <w:t>1）系统运行能满足100个以上用户并发使用。</w:t>
            </w:r>
          </w:p>
          <w:p>
            <w:pPr>
              <w:pStyle w:val="null3"/>
              <w:ind w:firstLine="400"/>
              <w:jc w:val="both"/>
            </w:pPr>
            <w:r>
              <w:rPr>
                <w:rFonts w:ascii="仿宋_GB2312" w:hAnsi="仿宋_GB2312" w:cs="仿宋_GB2312" w:eastAsia="仿宋_GB2312"/>
                <w:sz w:val="20"/>
              </w:rPr>
              <w:t>2）系统能够7×24小时的连续运行，平均年故障时间≤1天，平均故障修复时间≤30分钟。</w:t>
            </w:r>
          </w:p>
          <w:p>
            <w:pPr>
              <w:pStyle w:val="null3"/>
              <w:ind w:firstLine="400"/>
              <w:jc w:val="both"/>
            </w:pPr>
            <w:r>
              <w:rPr>
                <w:rFonts w:ascii="仿宋_GB2312" w:hAnsi="仿宋_GB2312" w:cs="仿宋_GB2312" w:eastAsia="仿宋_GB2312"/>
                <w:sz w:val="20"/>
              </w:rPr>
              <w:t>3）在硬件和网络环境达标的前提下，在最大并发访问的情况下：系统操作界面响应时间≤3秒；数据查询效率：一般性数据查询平均响应时间≤3秒；在执行大数据量查询、统计、分析等耗时操作时应给予进度指示或明确请求用户等待的状态提示。</w:t>
            </w:r>
          </w:p>
          <w:p>
            <w:pPr>
              <w:pStyle w:val="null3"/>
              <w:ind w:firstLine="400"/>
              <w:jc w:val="both"/>
            </w:pPr>
            <w:r>
              <w:rPr>
                <w:rFonts w:ascii="仿宋_GB2312" w:hAnsi="仿宋_GB2312" w:cs="仿宋_GB2312" w:eastAsia="仿宋_GB2312"/>
                <w:sz w:val="20"/>
              </w:rPr>
              <w:t>3.知识产权要求</w:t>
            </w:r>
          </w:p>
          <w:p>
            <w:pPr>
              <w:pStyle w:val="null3"/>
              <w:ind w:firstLine="400"/>
              <w:jc w:val="both"/>
            </w:pPr>
            <w:r>
              <w:rPr>
                <w:rFonts w:ascii="仿宋_GB2312" w:hAnsi="仿宋_GB2312" w:cs="仿宋_GB2312" w:eastAsia="仿宋_GB2312"/>
                <w:sz w:val="20"/>
              </w:rPr>
              <w:t>系统（适配前及适配后）所有知识产权均为陕西省信息中心所有。</w:t>
            </w:r>
          </w:p>
          <w:p>
            <w:pPr>
              <w:pStyle w:val="null3"/>
              <w:ind w:firstLine="400"/>
              <w:jc w:val="both"/>
            </w:pPr>
            <w:r>
              <w:rPr>
                <w:rFonts w:ascii="仿宋_GB2312" w:hAnsi="仿宋_GB2312" w:cs="仿宋_GB2312" w:eastAsia="仿宋_GB2312"/>
                <w:sz w:val="20"/>
              </w:rPr>
              <w:t>4.售后要求</w:t>
            </w:r>
          </w:p>
          <w:p>
            <w:pPr>
              <w:pStyle w:val="null3"/>
              <w:ind w:firstLine="400"/>
              <w:jc w:val="both"/>
            </w:pPr>
            <w:r>
              <w:rPr>
                <w:rFonts w:ascii="仿宋_GB2312" w:hAnsi="仿宋_GB2312" w:cs="仿宋_GB2312" w:eastAsia="仿宋_GB2312"/>
                <w:sz w:val="20"/>
              </w:rPr>
              <w:t>项目团队需提供自终验之日起</w:t>
            </w:r>
            <w:r>
              <w:rPr>
                <w:rFonts w:ascii="仿宋_GB2312" w:hAnsi="仿宋_GB2312" w:cs="仿宋_GB2312" w:eastAsia="仿宋_GB2312"/>
                <w:sz w:val="20"/>
              </w:rPr>
              <w:t>1年的信创适配改造工作相关售后技术支持，提供1名符合要求的驻场人员；响应时间≤2小时，重大问题解决时间≤24小时。</w:t>
            </w:r>
          </w:p>
          <w:p>
            <w:pPr>
              <w:pStyle w:val="null3"/>
              <w:ind w:firstLine="400"/>
              <w:jc w:val="both"/>
            </w:pPr>
            <w:r>
              <w:rPr>
                <w:rFonts w:ascii="仿宋_GB2312" w:hAnsi="仿宋_GB2312" w:cs="仿宋_GB2312" w:eastAsia="仿宋_GB2312"/>
                <w:sz w:val="20"/>
              </w:rPr>
              <w:t>5.培训要求</w:t>
            </w:r>
          </w:p>
          <w:p>
            <w:pPr>
              <w:pStyle w:val="null3"/>
              <w:ind w:firstLine="400"/>
              <w:jc w:val="both"/>
            </w:pPr>
            <w:r>
              <w:rPr>
                <w:rFonts w:ascii="仿宋_GB2312" w:hAnsi="仿宋_GB2312" w:cs="仿宋_GB2312" w:eastAsia="仿宋_GB2312"/>
                <w:sz w:val="20"/>
              </w:rPr>
              <w:t>供应商须根据系统软件的功能和特点，针对不同用户角色进行不同培训，在投标文件中提出详细的系统培训方案。</w:t>
            </w:r>
          </w:p>
          <w:p>
            <w:pPr>
              <w:pStyle w:val="null3"/>
              <w:ind w:firstLine="400"/>
              <w:jc w:val="both"/>
            </w:pPr>
            <w:r>
              <w:rPr>
                <w:rFonts w:ascii="仿宋_GB2312" w:hAnsi="仿宋_GB2312" w:cs="仿宋_GB2312" w:eastAsia="仿宋_GB2312"/>
                <w:sz w:val="20"/>
              </w:rPr>
              <w:t>6.保密要求</w:t>
            </w:r>
          </w:p>
          <w:p>
            <w:pPr>
              <w:pStyle w:val="null3"/>
            </w:pPr>
            <w:r>
              <w:rPr>
                <w:rFonts w:ascii="仿宋_GB2312" w:hAnsi="仿宋_GB2312" w:cs="仿宋_GB2312" w:eastAsia="仿宋_GB2312"/>
                <w:sz w:val="21"/>
              </w:rPr>
              <w:t>供应商必须提供对本项目的保密承诺，签订保密协议，保证对项目实施过程中产生的各类技术文件、信息以及由采购人提供的所有内部资料、技术文档和信息予以保密；未经采购人书面许可，供应商不得以任何形式向第三方透露本项目标书以及本项目的任何内容。</w:t>
            </w:r>
          </w:p>
        </w:tc>
      </w:tr>
    </w:tbl>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标的名称：工程监理</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一、项目概况</w:t>
            </w:r>
          </w:p>
          <w:p>
            <w:pPr>
              <w:pStyle w:val="null3"/>
              <w:ind w:firstLine="400"/>
            </w:pPr>
            <w:r>
              <w:rPr>
                <w:rFonts w:ascii="仿宋_GB2312" w:hAnsi="仿宋_GB2312" w:cs="仿宋_GB2312" w:eastAsia="仿宋_GB2312"/>
                <w:sz w:val="20"/>
              </w:rPr>
              <w:t>陕西省信息中心政务应用系统信创适配整合迁移项目监理</w:t>
            </w:r>
            <w:r>
              <w:rPr>
                <w:rFonts w:ascii="仿宋_GB2312" w:hAnsi="仿宋_GB2312" w:cs="仿宋_GB2312" w:eastAsia="仿宋_GB2312"/>
                <w:sz w:val="20"/>
              </w:rPr>
              <w:t>服务项目</w:t>
            </w:r>
          </w:p>
          <w:p>
            <w:pPr>
              <w:pStyle w:val="null3"/>
            </w:pPr>
            <w:r>
              <w:rPr>
                <w:rFonts w:ascii="仿宋_GB2312" w:hAnsi="仿宋_GB2312" w:cs="仿宋_GB2312" w:eastAsia="仿宋_GB2312"/>
                <w:sz w:val="20"/>
                <w:b/>
              </w:rPr>
              <w:t>二、服务内容</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需求调研及设计阶段</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）对承建单位提供的需求规格说明书、概要设计说明书、详细设计说明书进行分析、审核。</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）协调组织需求规格说明书、概要设计说明书、详细设计说明书的专家评审。</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）审核承建单位项目进度计划的合理性和可操作性。</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）审核承建单位的项目组织结构、人员构成。</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）审查承建单位的质量保证体系和计划。</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实施阶段</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）审核承建单位项目建设内容的具体实施方案。</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）审核承建单位的技术验证环境建设情况、技术验证方案和执行情况。</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）审核和确认承建单位的开发和采购计划、安装调试计划、测试计划、试运行计划、正式运行计划。</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）检查承建单位项目实施的相关文档。</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）检查项目实施的环境准备情况。</w:t>
            </w:r>
          </w:p>
          <w:p>
            <w:pPr>
              <w:pStyle w:val="null3"/>
              <w:ind w:firstLine="400"/>
            </w:pPr>
            <w:r>
              <w:rPr>
                <w:rFonts w:ascii="仿宋_GB2312" w:hAnsi="仿宋_GB2312" w:cs="仿宋_GB2312" w:eastAsia="仿宋_GB2312"/>
                <w:sz w:val="20"/>
              </w:rPr>
              <w:t>7</w:t>
            </w:r>
            <w:r>
              <w:rPr>
                <w:rFonts w:ascii="仿宋_GB2312" w:hAnsi="仿宋_GB2312" w:cs="仿宋_GB2312" w:eastAsia="仿宋_GB2312"/>
                <w:sz w:val="20"/>
              </w:rPr>
              <w:t>）监督项目计划进度与实际进度的符合性，并提出合理化建议，确保计划进度与实际进度偏差最小化。</w:t>
            </w:r>
          </w:p>
          <w:p>
            <w:pPr>
              <w:pStyle w:val="null3"/>
              <w:ind w:firstLine="400"/>
            </w:pPr>
            <w:r>
              <w:rPr>
                <w:rFonts w:ascii="仿宋_GB2312" w:hAnsi="仿宋_GB2312" w:cs="仿宋_GB2312" w:eastAsia="仿宋_GB2312"/>
                <w:sz w:val="20"/>
              </w:rPr>
              <w:t>8</w:t>
            </w:r>
            <w:r>
              <w:rPr>
                <w:rFonts w:ascii="仿宋_GB2312" w:hAnsi="仿宋_GB2312" w:cs="仿宋_GB2312" w:eastAsia="仿宋_GB2312"/>
                <w:sz w:val="20"/>
              </w:rPr>
              <w:t>）对项目实施过程中的变更及费用进行审核。</w:t>
            </w:r>
          </w:p>
          <w:p>
            <w:pPr>
              <w:pStyle w:val="null3"/>
              <w:ind w:firstLine="400"/>
            </w:pPr>
            <w:r>
              <w:rPr>
                <w:rFonts w:ascii="仿宋_GB2312" w:hAnsi="仿宋_GB2312" w:cs="仿宋_GB2312" w:eastAsia="仿宋_GB2312"/>
                <w:sz w:val="20"/>
              </w:rPr>
              <w:t>9</w:t>
            </w:r>
            <w:r>
              <w:rPr>
                <w:rFonts w:ascii="仿宋_GB2312" w:hAnsi="仿宋_GB2312" w:cs="仿宋_GB2312" w:eastAsia="仿宋_GB2312"/>
                <w:sz w:val="20"/>
              </w:rPr>
              <w:t>）处理项目实施过程中出现的质量事故。</w:t>
            </w:r>
          </w:p>
          <w:p>
            <w:pPr>
              <w:pStyle w:val="null3"/>
              <w:ind w:firstLine="400"/>
            </w:pPr>
            <w:r>
              <w:rPr>
                <w:rFonts w:ascii="仿宋_GB2312" w:hAnsi="仿宋_GB2312" w:cs="仿宋_GB2312" w:eastAsia="仿宋_GB2312"/>
                <w:sz w:val="20"/>
              </w:rPr>
              <w:t>10</w:t>
            </w:r>
            <w:r>
              <w:rPr>
                <w:rFonts w:ascii="仿宋_GB2312" w:hAnsi="仿宋_GB2312" w:cs="仿宋_GB2312" w:eastAsia="仿宋_GB2312"/>
                <w:sz w:val="20"/>
              </w:rPr>
              <w:t>）代表建设单位负责与承建、审计、测评单位之间的工作协调安排。</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项目验收</w:t>
            </w:r>
          </w:p>
          <w:p>
            <w:pPr>
              <w:pStyle w:val="null3"/>
              <w:ind w:firstLine="400"/>
            </w:pPr>
            <w:r>
              <w:rPr>
                <w:rFonts w:ascii="仿宋_GB2312" w:hAnsi="仿宋_GB2312" w:cs="仿宋_GB2312" w:eastAsia="仿宋_GB2312"/>
                <w:sz w:val="20"/>
              </w:rPr>
              <w:t>按照陕政数据〔</w:t>
            </w:r>
            <w:r>
              <w:rPr>
                <w:rFonts w:ascii="仿宋_GB2312" w:hAnsi="仿宋_GB2312" w:cs="仿宋_GB2312" w:eastAsia="仿宋_GB2312"/>
                <w:sz w:val="20"/>
              </w:rPr>
              <w:t>2023</w:t>
            </w:r>
            <w:r>
              <w:rPr>
                <w:rFonts w:ascii="仿宋_GB2312" w:hAnsi="仿宋_GB2312" w:cs="仿宋_GB2312" w:eastAsia="仿宋_GB2312"/>
                <w:sz w:val="20"/>
              </w:rPr>
              <w:t>〕</w:t>
            </w:r>
            <w:r>
              <w:rPr>
                <w:rFonts w:ascii="仿宋_GB2312" w:hAnsi="仿宋_GB2312" w:cs="仿宋_GB2312" w:eastAsia="仿宋_GB2312"/>
                <w:sz w:val="20"/>
              </w:rPr>
              <w:t>6</w:t>
            </w:r>
            <w:r>
              <w:rPr>
                <w:rFonts w:ascii="仿宋_GB2312" w:hAnsi="仿宋_GB2312" w:cs="仿宋_GB2312" w:eastAsia="仿宋_GB2312"/>
                <w:sz w:val="20"/>
              </w:rPr>
              <w:t>号文</w:t>
            </w:r>
            <w:r>
              <w:rPr>
                <w:rFonts w:ascii="仿宋_GB2312" w:hAnsi="仿宋_GB2312" w:cs="仿宋_GB2312" w:eastAsia="仿宋_GB2312"/>
                <w:sz w:val="20"/>
              </w:rPr>
              <w:t>《关于印发省级政务信息化项目竣工验收管理办法（试行）》</w:t>
            </w:r>
            <w:r>
              <w:rPr>
                <w:rFonts w:ascii="仿宋_GB2312" w:hAnsi="仿宋_GB2312" w:cs="仿宋_GB2312" w:eastAsia="仿宋_GB2312"/>
                <w:sz w:val="20"/>
              </w:rPr>
              <w:t>要求及合同约定执行</w:t>
            </w:r>
            <w:r>
              <w:rPr>
                <w:rFonts w:ascii="仿宋_GB2312" w:hAnsi="仿宋_GB2312" w:cs="仿宋_GB2312" w:eastAsia="仿宋_GB2312"/>
                <w:sz w:val="20"/>
              </w:rPr>
              <w:t>，协助参与项目的初步验收、最终验收、档案专项验收和竣工验收。</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服务全过程</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）按照档案验收要求制定规范的监理过程用表、审核、监督承建单位制定标准文档模板，以及文档的提交计划。</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）按照项目阶段划分，提出对应各阶段监理内容的符合性检查一览表，作为各阶段项目建设完成进度的检查标志。</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）定期向建设单位汇报项目进展情况，提交项目监理报告。</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）组织或协助建设单位组织与项目建设有关的各类会议。</w:t>
            </w:r>
          </w:p>
          <w:p>
            <w:pPr>
              <w:pStyle w:val="null3"/>
            </w:pPr>
            <w:r>
              <w:rPr>
                <w:rFonts w:ascii="仿宋_GB2312" w:hAnsi="仿宋_GB2312" w:cs="仿宋_GB2312" w:eastAsia="仿宋_GB2312"/>
                <w:sz w:val="20"/>
                <w:b/>
              </w:rPr>
              <w:t>三、服务要求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项目实施前的监理要求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）对监理人员进行合理分工，建立监理组织，编制和审批监理实施细则。</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）审查验证承建单位的人员资质，符合招标要求或相应的规定。</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）审核承建单位提交的项目各阶段文件。</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）审核操作系统、应用系统等软件配置与设计方案的符合性。</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）审查承建单位提交的项目开发各阶段进度计划，核查承建单位对进度计划的调整。</w:t>
            </w:r>
          </w:p>
          <w:p>
            <w:pPr>
              <w:pStyle w:val="null3"/>
              <w:ind w:firstLine="400"/>
            </w:pPr>
            <w:r>
              <w:rPr>
                <w:rFonts w:ascii="仿宋_GB2312" w:hAnsi="仿宋_GB2312" w:cs="仿宋_GB2312" w:eastAsia="仿宋_GB2312"/>
                <w:sz w:val="20"/>
              </w:rPr>
              <w:t>6</w:t>
            </w:r>
            <w:r>
              <w:rPr>
                <w:rFonts w:ascii="仿宋_GB2312" w:hAnsi="仿宋_GB2312" w:cs="仿宋_GB2312" w:eastAsia="仿宋_GB2312"/>
                <w:sz w:val="20"/>
              </w:rPr>
              <w:t>）审核软件的测试环境、测试计划、测试用例。</w:t>
            </w:r>
          </w:p>
          <w:p>
            <w:pPr>
              <w:pStyle w:val="null3"/>
              <w:ind w:firstLine="400"/>
            </w:pPr>
            <w:r>
              <w:rPr>
                <w:rFonts w:ascii="仿宋_GB2312" w:hAnsi="仿宋_GB2312" w:cs="仿宋_GB2312" w:eastAsia="仿宋_GB2312"/>
                <w:sz w:val="20"/>
              </w:rPr>
              <w:t>7</w:t>
            </w:r>
            <w:r>
              <w:rPr>
                <w:rFonts w:ascii="仿宋_GB2312" w:hAnsi="仿宋_GB2312" w:cs="仿宋_GB2312" w:eastAsia="仿宋_GB2312"/>
                <w:sz w:val="20"/>
              </w:rPr>
              <w:t>）审核承建单位报审的项目实施组织设计方案和项目进度实施计划。</w:t>
            </w:r>
          </w:p>
          <w:p>
            <w:pPr>
              <w:pStyle w:val="null3"/>
              <w:ind w:firstLine="400"/>
            </w:pPr>
            <w:r>
              <w:rPr>
                <w:rFonts w:ascii="仿宋_GB2312" w:hAnsi="仿宋_GB2312" w:cs="仿宋_GB2312" w:eastAsia="仿宋_GB2312"/>
                <w:sz w:val="20"/>
              </w:rPr>
              <w:t>8</w:t>
            </w:r>
            <w:r>
              <w:rPr>
                <w:rFonts w:ascii="仿宋_GB2312" w:hAnsi="仿宋_GB2312" w:cs="仿宋_GB2312" w:eastAsia="仿宋_GB2312"/>
                <w:sz w:val="20"/>
              </w:rPr>
              <w:t>）审查相关软件建设的各项手续。</w:t>
            </w:r>
          </w:p>
          <w:p>
            <w:pPr>
              <w:pStyle w:val="null3"/>
              <w:ind w:firstLine="400"/>
            </w:pPr>
            <w:r>
              <w:rPr>
                <w:rFonts w:ascii="仿宋_GB2312" w:hAnsi="仿宋_GB2312" w:cs="仿宋_GB2312" w:eastAsia="仿宋_GB2312"/>
                <w:sz w:val="20"/>
              </w:rPr>
              <w:t>9</w:t>
            </w:r>
            <w:r>
              <w:rPr>
                <w:rFonts w:ascii="仿宋_GB2312" w:hAnsi="仿宋_GB2312" w:cs="仿宋_GB2312" w:eastAsia="仿宋_GB2312"/>
                <w:sz w:val="20"/>
              </w:rPr>
              <w:t>）协助组织软件建设的各阶段协调会议。</w:t>
            </w:r>
          </w:p>
          <w:p>
            <w:pPr>
              <w:pStyle w:val="null3"/>
              <w:ind w:firstLine="400"/>
            </w:pPr>
            <w:r>
              <w:rPr>
                <w:rFonts w:ascii="仿宋_GB2312" w:hAnsi="仿宋_GB2312" w:cs="仿宋_GB2312" w:eastAsia="仿宋_GB2312"/>
                <w:sz w:val="20"/>
              </w:rPr>
              <w:t>10</w:t>
            </w:r>
            <w:r>
              <w:rPr>
                <w:rFonts w:ascii="仿宋_GB2312" w:hAnsi="仿宋_GB2312" w:cs="仿宋_GB2312" w:eastAsia="仿宋_GB2312"/>
                <w:sz w:val="20"/>
              </w:rPr>
              <w:t>）审核系统部署方案。</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项目实施阶段的监理要求</w:t>
            </w:r>
          </w:p>
          <w:p>
            <w:pPr>
              <w:pStyle w:val="null3"/>
              <w:ind w:firstLine="400"/>
            </w:pPr>
            <w:r>
              <w:rPr>
                <w:rFonts w:ascii="仿宋_GB2312" w:hAnsi="仿宋_GB2312" w:cs="仿宋_GB2312" w:eastAsia="仿宋_GB2312"/>
                <w:sz w:val="20"/>
              </w:rPr>
              <w:t>2.1</w:t>
            </w:r>
            <w:r>
              <w:rPr>
                <w:rFonts w:ascii="仿宋_GB2312" w:hAnsi="仿宋_GB2312" w:cs="仿宋_GB2312" w:eastAsia="仿宋_GB2312"/>
                <w:sz w:val="20"/>
              </w:rPr>
              <w:t>合同管理</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）定期对实施合同的执行情况进行跟踪管理和检查（如遇特殊情况、紧急情况，应在第一时间内上报建设单位），并以书面形式报送建设单位。</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）负责计算、审核各项索赔金额，提供处理意见，并协助建设单位处理合同纠纷。</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）对合同工期的延误和延期进行审核。</w:t>
            </w:r>
          </w:p>
          <w:p>
            <w:pPr>
              <w:pStyle w:val="null3"/>
              <w:ind w:firstLine="400"/>
            </w:pPr>
            <w:r>
              <w:rPr>
                <w:rFonts w:ascii="仿宋_GB2312" w:hAnsi="仿宋_GB2312" w:cs="仿宋_GB2312" w:eastAsia="仿宋_GB2312"/>
                <w:sz w:val="20"/>
              </w:rPr>
              <w:t>2.2</w:t>
            </w:r>
            <w:r>
              <w:rPr>
                <w:rFonts w:ascii="仿宋_GB2312" w:hAnsi="仿宋_GB2312" w:cs="仿宋_GB2312" w:eastAsia="仿宋_GB2312"/>
                <w:sz w:val="20"/>
              </w:rPr>
              <w:t>项目进度控制</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）根据建设单位及各相关合同要求，协助制定项目总进度控制计划，审查承建单位提交的项目实施进度计划。</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）根据项目建设总进度计划，审核承建单位提交的进度计划并监督、控制其执行，必要时对上述计划提出调整建议和必要的指示。</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）对承建单位报送的项目实施计划动态进行分析，找出影响进度的原因，提出纠偏措施和指令。</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）审核承建单位的软件开发计划，提出有关建议和补救措施，并发布有关指令。</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）及时分析进度障碍，调整总控制进度计划，上报建设单位，并提出补救措施，发布相应指令。</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项目验收阶段的监理要求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）审核竣工文档资料的完整性、可读性以及与项目实际的一致性。</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）审查承建单位提交的正式验收申请。</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）参加项目正式验收，签署正式验收意见。</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）审查承建单位提交的竣工结算申请并报建设单位。</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）编制/整理项目监理资料归档文件并报建设单位审核无误后，移交建设单位存档。</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服务响应要求</w:t>
            </w:r>
          </w:p>
          <w:p>
            <w:pPr>
              <w:pStyle w:val="null3"/>
              <w:ind w:firstLine="400"/>
            </w:pPr>
            <w:r>
              <w:rPr>
                <w:rFonts w:ascii="仿宋_GB2312" w:hAnsi="仿宋_GB2312" w:cs="仿宋_GB2312" w:eastAsia="仿宋_GB2312"/>
                <w:sz w:val="20"/>
              </w:rPr>
              <w:t>供应商应在采购人的监督、指导下开展工作，项目期间应负责采购人、用户单位和服务提供单位的联系协调，定期召开联合会议，保证项目进度的顺利进行。供应商应配置服务团队，对采购人提出的监理服务需求和要求做到24小时内响应，对于紧急需求和要求做到2小时内响应。</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保密要求</w:t>
            </w:r>
          </w:p>
          <w:p>
            <w:pPr>
              <w:pStyle w:val="null3"/>
            </w:pPr>
            <w:r>
              <w:rPr>
                <w:rFonts w:ascii="仿宋_GB2312" w:hAnsi="仿宋_GB2312" w:cs="仿宋_GB2312" w:eastAsia="仿宋_GB2312"/>
                <w:sz w:val="21"/>
              </w:rPr>
              <w:t>供应商必须提供对本项目的保密承诺，签订保密协议，保证对项目实施过程中产生的各类技术文件、信息以及由采购人提供的所有内部资料、技术文档和信息予以保密；未经采购人书面许可，供应商不得以任何形式向第三方透露本项目标书以及本项目的任何内容。</w:t>
            </w:r>
          </w:p>
        </w:tc>
      </w:tr>
    </w:tbl>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标的名称：第三方审计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left="420"/>
            </w:pPr>
            <w:r>
              <w:rPr>
                <w:rFonts w:ascii="仿宋_GB2312" w:hAnsi="仿宋_GB2312" w:cs="仿宋_GB2312" w:eastAsia="仿宋_GB2312"/>
                <w:sz w:val="20"/>
              </w:rPr>
              <w:t>陕西省信息中心政务应用系统信创适配整合迁移项目第三方审计服务</w:t>
            </w:r>
          </w:p>
          <w:p>
            <w:pPr>
              <w:pStyle w:val="null3"/>
            </w:pPr>
            <w:r>
              <w:rPr>
                <w:rFonts w:ascii="仿宋_GB2312" w:hAnsi="仿宋_GB2312" w:cs="仿宋_GB2312" w:eastAsia="仿宋_GB2312"/>
                <w:sz w:val="20"/>
                <w:b/>
              </w:rPr>
              <w:t>二.</w:t>
            </w:r>
            <w:r>
              <w:rPr>
                <w:rFonts w:ascii="仿宋_GB2312" w:hAnsi="仿宋_GB2312" w:cs="仿宋_GB2312" w:eastAsia="仿宋_GB2312"/>
                <w:sz w:val="20"/>
                <w:b/>
              </w:rPr>
              <w:t>服务内容</w:t>
            </w:r>
          </w:p>
          <w:p>
            <w:pPr>
              <w:pStyle w:val="null3"/>
              <w:ind w:left="420"/>
            </w:pPr>
            <w:r>
              <w:rPr>
                <w:rFonts w:ascii="仿宋_GB2312" w:hAnsi="仿宋_GB2312" w:cs="仿宋_GB2312" w:eastAsia="仿宋_GB2312"/>
                <w:sz w:val="20"/>
              </w:rPr>
              <w:t>1.</w:t>
            </w:r>
            <w:r>
              <w:rPr>
                <w:rFonts w:ascii="仿宋_GB2312" w:hAnsi="仿宋_GB2312" w:cs="仿宋_GB2312" w:eastAsia="仿宋_GB2312"/>
                <w:sz w:val="20"/>
              </w:rPr>
              <w:t>项目造价结算审核</w:t>
            </w:r>
          </w:p>
          <w:p>
            <w:pPr>
              <w:pStyle w:val="null3"/>
              <w:ind w:firstLine="400"/>
            </w:pPr>
            <w:r>
              <w:rPr>
                <w:rFonts w:ascii="仿宋_GB2312" w:hAnsi="仿宋_GB2312" w:cs="仿宋_GB2312" w:eastAsia="仿宋_GB2312"/>
                <w:sz w:val="20"/>
              </w:rPr>
              <w:t>通过对项目造价结算内容的审查，以确保项目造价的合理性和准确性，确保项目的造价结算符合相关法律法规和政策要求，保证项目的合规性和可持续发展。项目造价结算审核内容主要包括以下几个方面：</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）预算（概算）审查。在项目正式立项前，审查技术方案预算（概算）中各项费用的合理性。</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）工程量审查。对现场设备、软件实际部署情况、运维服务、安全服务及数据采集工作等实际工作量进行审核。对各阶段成果文件、验收报告、采购发票、评审意见、研发工作量等资料进行审核。</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）费用审查。功能列项套费率，依据规范将系统需求进行功能点拆分，审查工作量，审查项目综合费用。</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）支付审查。对项目的支付过程进行审查，包括支付的时间、支付的金额、支付的对象等。</w:t>
            </w:r>
          </w:p>
          <w:p>
            <w:pPr>
              <w:pStyle w:val="null3"/>
              <w:ind w:left="420"/>
            </w:pPr>
            <w:r>
              <w:rPr>
                <w:rFonts w:ascii="仿宋_GB2312" w:hAnsi="仿宋_GB2312" w:cs="仿宋_GB2312" w:eastAsia="仿宋_GB2312"/>
                <w:sz w:val="20"/>
              </w:rPr>
              <w:t>5</w:t>
            </w:r>
            <w:r>
              <w:rPr>
                <w:rFonts w:ascii="仿宋_GB2312" w:hAnsi="仿宋_GB2312" w:cs="仿宋_GB2312" w:eastAsia="仿宋_GB2312"/>
                <w:sz w:val="20"/>
              </w:rPr>
              <w:t>）工期审查。对项目的工期进行审查，包括项目的计划进度、实际进度等。</w:t>
            </w:r>
          </w:p>
          <w:p>
            <w:pPr>
              <w:pStyle w:val="null3"/>
              <w:ind w:firstLine="400"/>
            </w:pPr>
            <w:r>
              <w:rPr>
                <w:rFonts w:ascii="仿宋_GB2312" w:hAnsi="仿宋_GB2312" w:cs="仿宋_GB2312" w:eastAsia="仿宋_GB2312"/>
                <w:sz w:val="20"/>
              </w:rPr>
              <w:t>6</w:t>
            </w:r>
            <w:r>
              <w:rPr>
                <w:rFonts w:ascii="仿宋_GB2312" w:hAnsi="仿宋_GB2312" w:cs="仿宋_GB2312" w:eastAsia="仿宋_GB2312"/>
                <w:sz w:val="20"/>
              </w:rPr>
              <w:t>）结算文件审查。对项目的结算文件进行审查，包括结算报告、结算单、结算资料等。</w:t>
            </w:r>
          </w:p>
          <w:p>
            <w:pPr>
              <w:pStyle w:val="null3"/>
              <w:ind w:left="420"/>
            </w:pPr>
            <w:r>
              <w:rPr>
                <w:rFonts w:ascii="仿宋_GB2312" w:hAnsi="仿宋_GB2312" w:cs="仿宋_GB2312" w:eastAsia="仿宋_GB2312"/>
                <w:sz w:val="20"/>
              </w:rPr>
              <w:t>2.</w:t>
            </w:r>
            <w:r>
              <w:rPr>
                <w:rFonts w:ascii="仿宋_GB2312" w:hAnsi="仿宋_GB2312" w:cs="仿宋_GB2312" w:eastAsia="仿宋_GB2312"/>
                <w:sz w:val="20"/>
              </w:rPr>
              <w:t>竣工财务决算审计</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审查决算资料的完整性。①经批准的实施方案、投资概算、系统及设备清单及各种合同及协议书；②项目预算（投标报价）、结算书；③同级财政审批的各年度财务决算报表及竣工财务决算报表；④各年度下达的固定资产投资计划及调整计划；⑤已办理竣工验收的单项工程的竣工验收资料；⑥建设项目设备、材料采购及入、出库资料；⑦财务会计报表、会计账簿、会计凭证及其他会计资料；⑧项目交点清单及财产盘点移交清单；⑨其他资料，如收尾工程、遗留问题等。</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）竣工财务决算报表和说明书完整性、真实性审计。项目财务决算报表（不限于基本建设项目竣工决算审批表；建设项目竣工概况表；竣工财务决算表；交付使用资产总表；交付使用资产明细表）。</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各项投资支出的真实性、合规性审计。包括项目投资审计、设备投资审计、待摊投资列支的审计、其他投资支出的审计、待核销基建支出的审计及转出投资审计等。审计设备费用、软件费用的计算，确保费用的合理性和准确性。</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建设项目竣工结算的真实性、合规性审计。包括约定的合同价款及合同价款调整内容以及索赔事项是否规范；设计变更价款调整事项是否约定；过程造价控制是否真实合规；项目进度款结算与支付是否合规；造价咨询机构出具的项目结算文件是否真实合规等。</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）合规性审查。对项目的合规性进行审查，核查项目在立项、招投标、项目监理、交付验收等环节是否严格执行国家相关制度和政策规定等。</w:t>
            </w:r>
          </w:p>
          <w:p>
            <w:pPr>
              <w:pStyle w:val="null3"/>
              <w:ind w:firstLine="400"/>
            </w:pPr>
            <w:r>
              <w:rPr>
                <w:rFonts w:ascii="仿宋_GB2312" w:hAnsi="仿宋_GB2312" w:cs="仿宋_GB2312" w:eastAsia="仿宋_GB2312"/>
                <w:sz w:val="20"/>
              </w:rPr>
              <w:t>6</w:t>
            </w:r>
            <w:r>
              <w:rPr>
                <w:rFonts w:ascii="仿宋_GB2312" w:hAnsi="仿宋_GB2312" w:cs="仿宋_GB2312" w:eastAsia="仿宋_GB2312"/>
                <w:sz w:val="20"/>
              </w:rPr>
              <w:t>）风险审查。对项目的风险进行审查，包括项目的风险评估、风险控制等。</w:t>
            </w:r>
          </w:p>
          <w:p>
            <w:pPr>
              <w:pStyle w:val="null3"/>
              <w:ind w:firstLine="400"/>
            </w:pPr>
            <w:r>
              <w:rPr>
                <w:rFonts w:ascii="仿宋_GB2312" w:hAnsi="仿宋_GB2312" w:cs="仿宋_GB2312" w:eastAsia="仿宋_GB2312"/>
                <w:sz w:val="20"/>
              </w:rPr>
              <w:t>7</w:t>
            </w:r>
            <w:r>
              <w:rPr>
                <w:rFonts w:ascii="仿宋_GB2312" w:hAnsi="仿宋_GB2312" w:cs="仿宋_GB2312" w:eastAsia="仿宋_GB2312"/>
                <w:sz w:val="20"/>
              </w:rPr>
              <w:t>）合同审查。对项目合同进行审查，确保合同条款的履行和变更符合法律法规和政策要求，防范合同风险，维护国家利益。</w:t>
            </w:r>
          </w:p>
          <w:p>
            <w:pPr>
              <w:pStyle w:val="null3"/>
              <w:ind w:firstLine="400"/>
            </w:pPr>
            <w:r>
              <w:rPr>
                <w:rFonts w:ascii="仿宋_GB2312" w:hAnsi="仿宋_GB2312" w:cs="仿宋_GB2312" w:eastAsia="仿宋_GB2312"/>
                <w:sz w:val="20"/>
              </w:rPr>
              <w:t>8</w:t>
            </w:r>
            <w:r>
              <w:rPr>
                <w:rFonts w:ascii="仿宋_GB2312" w:hAnsi="仿宋_GB2312" w:cs="仿宋_GB2312" w:eastAsia="仿宋_GB2312"/>
                <w:sz w:val="20"/>
              </w:rPr>
              <w:t>）概算执行情况审计。包括实际完成投资总额的真实合规性审计，概算总投资、投入实际金额、实际投资完成额的比较；分析超支或结余的原因等。</w:t>
            </w:r>
          </w:p>
          <w:p>
            <w:pPr>
              <w:pStyle w:val="null3"/>
              <w:ind w:firstLine="400"/>
            </w:pPr>
            <w:r>
              <w:rPr>
                <w:rFonts w:ascii="仿宋_GB2312" w:hAnsi="仿宋_GB2312" w:cs="仿宋_GB2312" w:eastAsia="仿宋_GB2312"/>
                <w:sz w:val="20"/>
              </w:rPr>
              <w:t>9</w:t>
            </w:r>
            <w:r>
              <w:rPr>
                <w:rFonts w:ascii="仿宋_GB2312" w:hAnsi="仿宋_GB2312" w:cs="仿宋_GB2312" w:eastAsia="仿宋_GB2312"/>
                <w:sz w:val="20"/>
              </w:rPr>
              <w:t>）交付使用资产真实性、完整性审计。包括是否符合交付使用条件；交接手续是否齐全；应交使用资产是否真实、完整等。</w:t>
            </w:r>
          </w:p>
          <w:p>
            <w:pPr>
              <w:pStyle w:val="null3"/>
              <w:ind w:firstLine="400"/>
            </w:pPr>
            <w:r>
              <w:rPr>
                <w:rFonts w:ascii="仿宋_GB2312" w:hAnsi="仿宋_GB2312" w:cs="仿宋_GB2312" w:eastAsia="仿宋_GB2312"/>
                <w:sz w:val="20"/>
              </w:rPr>
              <w:t>10</w:t>
            </w:r>
            <w:r>
              <w:rPr>
                <w:rFonts w:ascii="仿宋_GB2312" w:hAnsi="仿宋_GB2312" w:cs="仿宋_GB2312" w:eastAsia="仿宋_GB2312"/>
                <w:sz w:val="20"/>
              </w:rPr>
              <w:t>）结余资金及项目收入审计。包括结余资金管理是否规范，有无“小金库”；库存物资管理是否规范，数量、质量是否存在问题，库存材料价格是否真实；往来款项、债权债务是否清晰，是否存在转移挪用问题，债权债务清理是否及时；项目收入是否及时清算，来源是否核实，收入分配是否存在问题</w:t>
            </w:r>
          </w:p>
          <w:p>
            <w:pPr>
              <w:pStyle w:val="null3"/>
              <w:ind w:left="420"/>
            </w:pPr>
            <w:r>
              <w:rPr>
                <w:rFonts w:ascii="仿宋_GB2312" w:hAnsi="仿宋_GB2312" w:cs="仿宋_GB2312" w:eastAsia="仿宋_GB2312"/>
                <w:sz w:val="20"/>
              </w:rPr>
              <w:t>11</w:t>
            </w:r>
            <w:r>
              <w:rPr>
                <w:rFonts w:ascii="仿宋_GB2312" w:hAnsi="仿宋_GB2312" w:cs="仿宋_GB2312" w:eastAsia="仿宋_GB2312"/>
                <w:sz w:val="20"/>
              </w:rPr>
              <w:t>）尾工工程审计。包括未完项目工程量的真实性和预留投资金额的真实性。</w:t>
            </w:r>
          </w:p>
          <w:p>
            <w:pPr>
              <w:pStyle w:val="null3"/>
              <w:ind w:left="420"/>
            </w:pPr>
            <w:r>
              <w:rPr>
                <w:rFonts w:ascii="仿宋_GB2312" w:hAnsi="仿宋_GB2312" w:cs="仿宋_GB2312" w:eastAsia="仿宋_GB2312"/>
                <w:sz w:val="20"/>
              </w:rPr>
              <w:t>3.</w:t>
            </w:r>
            <w:r>
              <w:rPr>
                <w:rFonts w:ascii="仿宋_GB2312" w:hAnsi="仿宋_GB2312" w:cs="仿宋_GB2312" w:eastAsia="仿宋_GB2312"/>
                <w:sz w:val="20"/>
              </w:rPr>
              <w:t>交付成果</w:t>
            </w:r>
            <w:r>
              <w:rPr>
                <w:rFonts w:ascii="仿宋_GB2312" w:hAnsi="仿宋_GB2312" w:cs="仿宋_GB2312" w:eastAsia="仿宋_GB2312"/>
                <w:sz w:val="20"/>
              </w:rPr>
              <w:t>。项目竣工决算审计报告一式三份。</w:t>
            </w:r>
          </w:p>
          <w:p>
            <w:pPr>
              <w:pStyle w:val="null3"/>
            </w:pPr>
            <w:r>
              <w:rPr>
                <w:rFonts w:ascii="仿宋_GB2312" w:hAnsi="仿宋_GB2312" w:cs="仿宋_GB2312" w:eastAsia="仿宋_GB2312"/>
                <w:sz w:val="20"/>
                <w:b/>
              </w:rPr>
              <w:t>三、</w:t>
            </w:r>
            <w:r>
              <w:rPr>
                <w:rFonts w:ascii="仿宋_GB2312" w:hAnsi="仿宋_GB2312" w:cs="仿宋_GB2312" w:eastAsia="仿宋_GB2312"/>
                <w:sz w:val="20"/>
                <w:b/>
              </w:rPr>
              <w:t>服务要求</w:t>
            </w:r>
          </w:p>
          <w:p>
            <w:pPr>
              <w:pStyle w:val="null3"/>
              <w:ind w:left="420"/>
            </w:pPr>
            <w:r>
              <w:rPr>
                <w:rFonts w:ascii="仿宋_GB2312" w:hAnsi="仿宋_GB2312" w:cs="仿宋_GB2312" w:eastAsia="仿宋_GB2312"/>
                <w:sz w:val="20"/>
              </w:rPr>
              <w:t>1.</w:t>
            </w:r>
            <w:r>
              <w:rPr>
                <w:rFonts w:ascii="仿宋_GB2312" w:hAnsi="仿宋_GB2312" w:cs="仿宋_GB2312" w:eastAsia="仿宋_GB2312"/>
                <w:sz w:val="20"/>
              </w:rPr>
              <w:t>应按照国家、陕西省相关标准执行；</w:t>
            </w:r>
          </w:p>
          <w:p>
            <w:pPr>
              <w:pStyle w:val="null3"/>
              <w:ind w:left="420"/>
            </w:pPr>
            <w:r>
              <w:rPr>
                <w:rFonts w:ascii="仿宋_GB2312" w:hAnsi="仿宋_GB2312" w:cs="仿宋_GB2312" w:eastAsia="仿宋_GB2312"/>
                <w:sz w:val="20"/>
              </w:rPr>
              <w:t>2.</w:t>
            </w:r>
            <w:r>
              <w:rPr>
                <w:rFonts w:ascii="仿宋_GB2312" w:hAnsi="仿宋_GB2312" w:cs="仿宋_GB2312" w:eastAsia="仿宋_GB2312"/>
                <w:sz w:val="20"/>
              </w:rPr>
              <w:t>拟派人员应遵守工作纪律和保密要求，签署保密协议；</w:t>
            </w:r>
          </w:p>
          <w:p>
            <w:pPr>
              <w:pStyle w:val="null3"/>
              <w:ind w:left="420"/>
            </w:pPr>
            <w:r>
              <w:rPr>
                <w:rFonts w:ascii="仿宋_GB2312" w:hAnsi="仿宋_GB2312" w:cs="仿宋_GB2312" w:eastAsia="仿宋_GB2312"/>
                <w:sz w:val="20"/>
              </w:rPr>
              <w:t>3.</w:t>
            </w:r>
            <w:r>
              <w:rPr>
                <w:rFonts w:ascii="仿宋_GB2312" w:hAnsi="仿宋_GB2312" w:cs="仿宋_GB2312" w:eastAsia="仿宋_GB2312"/>
                <w:sz w:val="20"/>
              </w:rPr>
              <w:t>服务成果以资料汇编形式提交，经采购人确认后视为验收通过；</w:t>
            </w:r>
          </w:p>
          <w:p>
            <w:pPr>
              <w:pStyle w:val="null3"/>
              <w:ind w:left="420" w:firstLine="420"/>
              <w:jc w:val="both"/>
            </w:pPr>
            <w:r>
              <w:rPr>
                <w:rFonts w:ascii="仿宋_GB2312" w:hAnsi="仿宋_GB2312" w:cs="仿宋_GB2312" w:eastAsia="仿宋_GB2312"/>
                <w:sz w:val="21"/>
              </w:rPr>
              <w:t>4.</w:t>
            </w:r>
            <w:r>
              <w:rPr>
                <w:rFonts w:ascii="仿宋_GB2312" w:hAnsi="仿宋_GB2312" w:cs="仿宋_GB2312" w:eastAsia="仿宋_GB2312"/>
                <w:sz w:val="21"/>
              </w:rPr>
              <w:t>按时出具审计报告，保证审计报告内容的真实性、可靠性。</w:t>
            </w:r>
            <w:r>
              <w:rPr>
                <w:rFonts w:ascii="仿宋_GB2312" w:hAnsi="仿宋_GB2312" w:cs="仿宋_GB2312" w:eastAsia="仿宋_GB2312"/>
                <w:sz w:val="20"/>
              </w:rPr>
              <w:t>并参与项目的竣工验收。</w:t>
            </w:r>
          </w:p>
          <w:p>
            <w:pPr>
              <w:pStyle w:val="null3"/>
            </w:pPr>
            <w:r>
              <w:rPr>
                <w:rFonts w:ascii="仿宋_GB2312" w:hAnsi="仿宋_GB2312" w:cs="仿宋_GB2312" w:eastAsia="仿宋_GB2312"/>
                <w:sz w:val="21"/>
              </w:rPr>
              <w:t>5.</w:t>
            </w:r>
            <w:r>
              <w:rPr>
                <w:rFonts w:ascii="仿宋_GB2312" w:hAnsi="仿宋_GB2312" w:cs="仿宋_GB2312" w:eastAsia="仿宋_GB2312"/>
                <w:sz w:val="21"/>
              </w:rPr>
              <w:t>保密要求。</w:t>
            </w:r>
            <w:r>
              <w:rPr>
                <w:rFonts w:ascii="仿宋_GB2312" w:hAnsi="仿宋_GB2312" w:cs="仿宋_GB2312" w:eastAsia="仿宋_GB2312"/>
                <w:sz w:val="21"/>
              </w:rPr>
              <w:t>供应商必须提供对本项目的保密承诺，签订保密协议，保证对项目实施过程中产生的各类技术文件、信息以及由采购人提供的所有内部资料、技术文档和信息予以保密；未经采购人书面许可，供应商不得以任何形式向第三方透露本项目标书以及本项目的任何内容。</w:t>
            </w:r>
          </w:p>
        </w:tc>
      </w:tr>
    </w:tbl>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标的名称：第三方软件测评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0"/>
            </w:pPr>
            <w:r>
              <w:rPr>
                <w:rFonts w:ascii="仿宋_GB2312" w:hAnsi="仿宋_GB2312" w:cs="仿宋_GB2312" w:eastAsia="仿宋_GB2312"/>
                <w:sz w:val="20"/>
                <w:b/>
              </w:rPr>
              <w:t>一、项目概况</w:t>
            </w:r>
          </w:p>
          <w:p>
            <w:pPr>
              <w:pStyle w:val="null3"/>
              <w:ind w:firstLine="420"/>
            </w:pPr>
            <w:r>
              <w:rPr>
                <w:rFonts w:ascii="仿宋_GB2312" w:hAnsi="仿宋_GB2312" w:cs="仿宋_GB2312" w:eastAsia="仿宋_GB2312"/>
                <w:sz w:val="20"/>
              </w:rPr>
              <w:t>陕西省信息中心政务应用系统信创适配整合迁移项目第三方软件测</w:t>
            </w:r>
            <w:r>
              <w:rPr>
                <w:rFonts w:ascii="仿宋_GB2312" w:hAnsi="仿宋_GB2312" w:cs="仿宋_GB2312" w:eastAsia="仿宋_GB2312"/>
                <w:sz w:val="20"/>
              </w:rPr>
              <w:t>评</w:t>
            </w:r>
            <w:r>
              <w:rPr>
                <w:rFonts w:ascii="仿宋_GB2312" w:hAnsi="仿宋_GB2312" w:cs="仿宋_GB2312" w:eastAsia="仿宋_GB2312"/>
                <w:sz w:val="20"/>
              </w:rPr>
              <w:t>服务</w:t>
            </w:r>
            <w:r>
              <w:rPr>
                <w:rFonts w:ascii="仿宋_GB2312" w:hAnsi="仿宋_GB2312" w:cs="仿宋_GB2312" w:eastAsia="仿宋_GB2312"/>
                <w:sz w:val="20"/>
              </w:rPr>
              <w:t>项目</w:t>
            </w:r>
          </w:p>
          <w:p>
            <w:pPr>
              <w:pStyle w:val="null3"/>
              <w:ind w:firstLine="420"/>
            </w:pPr>
            <w:r>
              <w:rPr>
                <w:rFonts w:ascii="仿宋_GB2312" w:hAnsi="仿宋_GB2312" w:cs="仿宋_GB2312" w:eastAsia="仿宋_GB2312"/>
                <w:sz w:val="20"/>
                <w:b/>
              </w:rPr>
              <w:t>二、服务</w:t>
            </w:r>
            <w:r>
              <w:rPr>
                <w:rFonts w:ascii="仿宋_GB2312" w:hAnsi="仿宋_GB2312" w:cs="仿宋_GB2312" w:eastAsia="仿宋_GB2312"/>
                <w:sz w:val="20"/>
                <w:b/>
              </w:rPr>
              <w:t>内容</w:t>
            </w:r>
          </w:p>
          <w:p>
            <w:pPr>
              <w:pStyle w:val="null3"/>
              <w:ind w:firstLine="420"/>
            </w:pPr>
            <w:r>
              <w:rPr>
                <w:rFonts w:ascii="仿宋_GB2312" w:hAnsi="仿宋_GB2312" w:cs="仿宋_GB2312" w:eastAsia="仿宋_GB2312"/>
                <w:sz w:val="20"/>
              </w:rPr>
              <w:t>对</w:t>
            </w:r>
            <w:r>
              <w:rPr>
                <w:rFonts w:ascii="仿宋_GB2312" w:hAnsi="仿宋_GB2312" w:cs="仿宋_GB2312" w:eastAsia="仿宋_GB2312"/>
                <w:sz w:val="20"/>
              </w:rPr>
              <w:t>陕西省信息中心政务应用系统信创适配整合迁移项目</w:t>
            </w:r>
            <w:r>
              <w:rPr>
                <w:rFonts w:ascii="仿宋_GB2312" w:hAnsi="仿宋_GB2312" w:cs="仿宋_GB2312" w:eastAsia="仿宋_GB2312"/>
                <w:sz w:val="20"/>
              </w:rPr>
              <w:t>中的2个系统进行功能、性能、安全性、源代码风险等</w:t>
            </w:r>
            <w:r>
              <w:rPr>
                <w:rFonts w:ascii="仿宋_GB2312" w:hAnsi="仿宋_GB2312" w:cs="仿宋_GB2312" w:eastAsia="仿宋_GB2312"/>
                <w:sz w:val="20"/>
              </w:rPr>
              <w:t>进行专业测试，</w:t>
            </w:r>
            <w:r>
              <w:rPr>
                <w:rFonts w:ascii="仿宋_GB2312" w:hAnsi="仿宋_GB2312" w:cs="仿宋_GB2312" w:eastAsia="仿宋_GB2312"/>
                <w:sz w:val="20"/>
              </w:rPr>
              <w:t>为项目后续运行提供质量保障。</w:t>
            </w:r>
            <w:r>
              <w:rPr>
                <w:rFonts w:ascii="仿宋_GB2312" w:hAnsi="仿宋_GB2312" w:cs="仿宋_GB2312" w:eastAsia="仿宋_GB2312"/>
                <w:sz w:val="20"/>
              </w:rPr>
              <w:t>测</w:t>
            </w:r>
            <w:r>
              <w:rPr>
                <w:rFonts w:ascii="仿宋_GB2312" w:hAnsi="仿宋_GB2312" w:cs="仿宋_GB2312" w:eastAsia="仿宋_GB2312"/>
                <w:sz w:val="20"/>
              </w:rPr>
              <w:t>评</w:t>
            </w:r>
            <w:r>
              <w:rPr>
                <w:rFonts w:ascii="仿宋_GB2312" w:hAnsi="仿宋_GB2312" w:cs="仿宋_GB2312" w:eastAsia="仿宋_GB2312"/>
                <w:sz w:val="20"/>
              </w:rPr>
              <w:t>内容</w:t>
            </w:r>
            <w:r>
              <w:rPr>
                <w:rFonts w:ascii="仿宋_GB2312" w:hAnsi="仿宋_GB2312" w:cs="仿宋_GB2312" w:eastAsia="仿宋_GB2312"/>
                <w:sz w:val="20"/>
              </w:rPr>
              <w:t>如下</w:t>
            </w:r>
            <w:r>
              <w:rPr>
                <w:rFonts w:ascii="仿宋_GB2312" w:hAnsi="仿宋_GB2312" w:cs="仿宋_GB2312" w:eastAsia="仿宋_GB2312"/>
                <w:sz w:val="20"/>
              </w:rPr>
              <w:t>：</w:t>
            </w:r>
          </w:p>
          <w:p>
            <w:pPr>
              <w:pStyle w:val="null3"/>
              <w:ind w:firstLine="420"/>
            </w:pPr>
            <w:r>
              <w:rPr>
                <w:rFonts w:ascii="仿宋_GB2312" w:hAnsi="仿宋_GB2312" w:cs="仿宋_GB2312" w:eastAsia="仿宋_GB2312"/>
                <w:sz w:val="20"/>
              </w:rPr>
              <w:t>1</w:t>
            </w:r>
            <w:r>
              <w:rPr>
                <w:rFonts w:ascii="仿宋_GB2312" w:hAnsi="仿宋_GB2312" w:cs="仿宋_GB2312" w:eastAsia="仿宋_GB2312"/>
                <w:sz w:val="20"/>
              </w:rPr>
              <w:t>功能测试</w:t>
            </w:r>
          </w:p>
          <w:p>
            <w:pPr>
              <w:pStyle w:val="null3"/>
              <w:ind w:firstLine="420"/>
            </w:pPr>
            <w:r>
              <w:rPr>
                <w:rFonts w:ascii="仿宋_GB2312" w:hAnsi="仿宋_GB2312" w:cs="仿宋_GB2312" w:eastAsia="仿宋_GB2312"/>
                <w:sz w:val="20"/>
              </w:rPr>
              <w:t>验证软件各项功能是否符合需求规格说明书，覆盖正常、异常、边界场景，校验业务流程、数据交互、接口调用、权限控制、兼容性适配等功能点，确保功能可用、准确、完整。</w:t>
            </w:r>
          </w:p>
          <w:p>
            <w:pPr>
              <w:pStyle w:val="null3"/>
              <w:ind w:firstLine="420"/>
            </w:pPr>
            <w:r>
              <w:rPr>
                <w:rFonts w:ascii="仿宋_GB2312" w:hAnsi="仿宋_GB2312" w:cs="仿宋_GB2312" w:eastAsia="仿宋_GB2312"/>
                <w:sz w:val="20"/>
              </w:rPr>
              <w:t>2</w:t>
            </w:r>
            <w:r>
              <w:rPr>
                <w:rFonts w:ascii="仿宋_GB2312" w:hAnsi="仿宋_GB2312" w:cs="仿宋_GB2312" w:eastAsia="仿宋_GB2312"/>
                <w:sz w:val="20"/>
              </w:rPr>
              <w:t>性能测试</w:t>
            </w:r>
          </w:p>
          <w:p>
            <w:pPr>
              <w:pStyle w:val="null3"/>
              <w:ind w:firstLine="420"/>
            </w:pPr>
            <w:r>
              <w:rPr>
                <w:rFonts w:ascii="仿宋_GB2312" w:hAnsi="仿宋_GB2312" w:cs="仿宋_GB2312" w:eastAsia="仿宋_GB2312"/>
                <w:sz w:val="20"/>
              </w:rPr>
              <w:t>测试系统整体性能、响应效率、并发处理能力及资源利用率，涵盖正常、峰值负载场景，监测响应时间、服务器资源占用，排查稳定性及瓶颈问题。</w:t>
            </w:r>
          </w:p>
          <w:p>
            <w:pPr>
              <w:pStyle w:val="null3"/>
              <w:ind w:firstLine="420"/>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分析系统用户行为，依据性能需求验证部署的信息系统支持的并发处理业务的能力。</w:t>
            </w:r>
          </w:p>
          <w:p>
            <w:pPr>
              <w:pStyle w:val="null3"/>
              <w:ind w:firstLine="420"/>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系统的关键业务，如数据采集、数据同步、数据统计等，具备快速响应能力。</w:t>
            </w:r>
          </w:p>
          <w:p>
            <w:pPr>
              <w:pStyle w:val="null3"/>
              <w:ind w:firstLine="420"/>
            </w:pPr>
            <w:r>
              <w:rPr>
                <w:rFonts w:ascii="仿宋_GB2312" w:hAnsi="仿宋_GB2312" w:cs="仿宋_GB2312" w:eastAsia="仿宋_GB2312"/>
                <w:sz w:val="20"/>
              </w:rPr>
              <w:t>3</w:t>
            </w:r>
            <w:r>
              <w:rPr>
                <w:rFonts w:ascii="仿宋_GB2312" w:hAnsi="仿宋_GB2312" w:cs="仿宋_GB2312" w:eastAsia="仿宋_GB2312"/>
                <w:sz w:val="20"/>
              </w:rPr>
              <w:t>）</w:t>
            </w:r>
            <w:r>
              <w:rPr>
                <w:rFonts w:ascii="仿宋_GB2312" w:hAnsi="仿宋_GB2312" w:cs="仿宋_GB2312" w:eastAsia="仿宋_GB2312"/>
                <w:sz w:val="20"/>
              </w:rPr>
              <w:t>系统资源利用在合理的数值范围，不超过资源指标的预警值。</w:t>
            </w:r>
          </w:p>
          <w:p>
            <w:pPr>
              <w:pStyle w:val="null3"/>
              <w:ind w:firstLine="420"/>
            </w:pPr>
            <w:r>
              <w:rPr>
                <w:rFonts w:ascii="仿宋_GB2312" w:hAnsi="仿宋_GB2312" w:cs="仿宋_GB2312" w:eastAsia="仿宋_GB2312"/>
                <w:sz w:val="20"/>
              </w:rPr>
              <w:t>4</w:t>
            </w:r>
            <w:r>
              <w:rPr>
                <w:rFonts w:ascii="仿宋_GB2312" w:hAnsi="仿宋_GB2312" w:cs="仿宋_GB2312" w:eastAsia="仿宋_GB2312"/>
                <w:sz w:val="20"/>
              </w:rPr>
              <w:t>）</w:t>
            </w:r>
            <w:r>
              <w:rPr>
                <w:rFonts w:ascii="仿宋_GB2312" w:hAnsi="仿宋_GB2312" w:cs="仿宋_GB2312" w:eastAsia="仿宋_GB2312"/>
                <w:sz w:val="20"/>
              </w:rPr>
              <w:t>测试在大用户量、大并发、大数据量和长时间连续运行等条件下，系统的响应时间和稳定运行情况。</w:t>
            </w:r>
          </w:p>
          <w:p>
            <w:pPr>
              <w:pStyle w:val="null3"/>
              <w:ind w:firstLine="420"/>
            </w:pPr>
            <w:r>
              <w:rPr>
                <w:rFonts w:ascii="仿宋_GB2312" w:hAnsi="仿宋_GB2312" w:cs="仿宋_GB2312" w:eastAsia="仿宋_GB2312"/>
                <w:sz w:val="20"/>
              </w:rPr>
              <w:t>3.</w:t>
            </w:r>
            <w:r>
              <w:rPr>
                <w:rFonts w:ascii="仿宋_GB2312" w:hAnsi="仿宋_GB2312" w:cs="仿宋_GB2312" w:eastAsia="仿宋_GB2312"/>
                <w:sz w:val="20"/>
              </w:rPr>
              <w:t>安全性测试</w:t>
            </w:r>
          </w:p>
          <w:p>
            <w:pPr>
              <w:pStyle w:val="null3"/>
              <w:ind w:firstLine="420"/>
            </w:pPr>
            <w:r>
              <w:rPr>
                <w:rFonts w:ascii="仿宋_GB2312" w:hAnsi="仿宋_GB2312" w:cs="仿宋_GB2312" w:eastAsia="仿宋_GB2312"/>
                <w:sz w:val="20"/>
              </w:rPr>
              <w:t>围绕数据安全、访问安全、业务安全开展检测，包括漏洞扫描、数据加密与脱敏、身份认证与鉴权、日志审计、防篡改、防重放、敏感信息保护，识别并规避安全风险。</w:t>
            </w:r>
          </w:p>
          <w:p>
            <w:pPr>
              <w:pStyle w:val="null3"/>
              <w:ind w:firstLine="420"/>
            </w:pPr>
            <w:r>
              <w:rPr>
                <w:rFonts w:ascii="仿宋_GB2312" w:hAnsi="仿宋_GB2312" w:cs="仿宋_GB2312" w:eastAsia="仿宋_GB2312"/>
                <w:sz w:val="20"/>
              </w:rPr>
              <w:t>4.</w:t>
            </w:r>
            <w:r>
              <w:rPr>
                <w:rFonts w:ascii="仿宋_GB2312" w:hAnsi="仿宋_GB2312" w:cs="仿宋_GB2312" w:eastAsia="仿宋_GB2312"/>
                <w:sz w:val="20"/>
              </w:rPr>
              <w:t>源</w:t>
            </w:r>
            <w:r>
              <w:rPr>
                <w:rFonts w:ascii="仿宋_GB2312" w:hAnsi="仿宋_GB2312" w:cs="仿宋_GB2312" w:eastAsia="仿宋_GB2312"/>
                <w:sz w:val="20"/>
              </w:rPr>
              <w:t>代码</w:t>
            </w:r>
            <w:r>
              <w:rPr>
                <w:rFonts w:ascii="仿宋_GB2312" w:hAnsi="仿宋_GB2312" w:cs="仿宋_GB2312" w:eastAsia="仿宋_GB2312"/>
                <w:sz w:val="20"/>
              </w:rPr>
              <w:t>风险测试</w:t>
            </w:r>
          </w:p>
          <w:p>
            <w:pPr>
              <w:pStyle w:val="null3"/>
              <w:ind w:firstLine="420"/>
            </w:pPr>
            <w:r>
              <w:rPr>
                <w:rFonts w:ascii="仿宋_GB2312" w:hAnsi="仿宋_GB2312" w:cs="仿宋_GB2312" w:eastAsia="仿宋_GB2312"/>
                <w:sz w:val="20"/>
              </w:rPr>
              <w:t>检测全部源代码，排查规范性、潜在缺陷及安全漏洞，结合人工审查，确保代码质量及安全性达标。</w:t>
            </w:r>
          </w:p>
          <w:p>
            <w:pPr>
              <w:pStyle w:val="null3"/>
              <w:ind w:firstLine="420"/>
            </w:pPr>
            <w:r>
              <w:rPr>
                <w:rFonts w:ascii="仿宋_GB2312" w:hAnsi="仿宋_GB2312" w:cs="仿宋_GB2312" w:eastAsia="仿宋_GB2312"/>
                <w:sz w:val="20"/>
              </w:rPr>
              <w:t>5.</w:t>
            </w:r>
            <w:r>
              <w:rPr>
                <w:rFonts w:ascii="仿宋_GB2312" w:hAnsi="仿宋_GB2312" w:cs="仿宋_GB2312" w:eastAsia="仿宋_GB2312"/>
                <w:sz w:val="20"/>
              </w:rPr>
              <w:t>交付成果</w:t>
            </w:r>
            <w:r>
              <w:rPr>
                <w:rFonts w:ascii="仿宋_GB2312" w:hAnsi="仿宋_GB2312" w:cs="仿宋_GB2312" w:eastAsia="仿宋_GB2312"/>
                <w:sz w:val="20"/>
              </w:rPr>
              <w:t>。</w:t>
            </w:r>
            <w:r>
              <w:rPr>
                <w:rFonts w:ascii="仿宋_GB2312" w:hAnsi="仿宋_GB2312" w:cs="仿宋_GB2312" w:eastAsia="仿宋_GB2312"/>
                <w:sz w:val="20"/>
              </w:rPr>
              <w:t>第三方软件测试</w:t>
            </w:r>
            <w:r>
              <w:rPr>
                <w:rFonts w:ascii="仿宋_GB2312" w:hAnsi="仿宋_GB2312" w:cs="仿宋_GB2312" w:eastAsia="仿宋_GB2312"/>
                <w:sz w:val="20"/>
              </w:rPr>
              <w:t>报告一式三份。</w:t>
            </w:r>
          </w:p>
          <w:p>
            <w:pPr>
              <w:pStyle w:val="null3"/>
              <w:ind w:firstLine="420"/>
            </w:pPr>
            <w:r>
              <w:rPr>
                <w:rFonts w:ascii="仿宋_GB2312" w:hAnsi="仿宋_GB2312" w:cs="仿宋_GB2312" w:eastAsia="仿宋_GB2312"/>
                <w:sz w:val="20"/>
                <w:b/>
              </w:rPr>
              <w:t>三、服务</w:t>
            </w:r>
            <w:r>
              <w:rPr>
                <w:rFonts w:ascii="仿宋_GB2312" w:hAnsi="仿宋_GB2312" w:cs="仿宋_GB2312" w:eastAsia="仿宋_GB2312"/>
                <w:sz w:val="20"/>
                <w:b/>
              </w:rPr>
              <w:t>要求</w:t>
            </w:r>
          </w:p>
          <w:p>
            <w:pPr>
              <w:pStyle w:val="null3"/>
              <w:ind w:firstLine="420"/>
            </w:pPr>
            <w:r>
              <w:rPr>
                <w:rFonts w:ascii="仿宋_GB2312" w:hAnsi="仿宋_GB2312" w:cs="仿宋_GB2312" w:eastAsia="仿宋_GB2312"/>
                <w:sz w:val="20"/>
              </w:rPr>
              <w:t>1</w:t>
            </w:r>
            <w:r>
              <w:rPr>
                <w:rFonts w:ascii="仿宋_GB2312" w:hAnsi="仿宋_GB2312" w:cs="仿宋_GB2312" w:eastAsia="仿宋_GB2312"/>
                <w:sz w:val="20"/>
              </w:rPr>
              <w:t>.</w:t>
            </w:r>
            <w:r>
              <w:rPr>
                <w:rFonts w:ascii="仿宋_GB2312" w:hAnsi="仿宋_GB2312" w:cs="仿宋_GB2312" w:eastAsia="仿宋_GB2312"/>
                <w:sz w:val="20"/>
              </w:rPr>
              <w:t>测试服务参照《GB/T25000.51-2016系统与软件工程系统与软件质量要求和评价（SQuaRE）第51部分：就绪可用软件产品（RUSP）的质量要求和测试细则》等执行。</w:t>
            </w:r>
          </w:p>
          <w:p>
            <w:pPr>
              <w:pStyle w:val="null3"/>
              <w:ind w:firstLine="420"/>
            </w:pPr>
            <w:r>
              <w:rPr>
                <w:rFonts w:ascii="仿宋_GB2312" w:hAnsi="仿宋_GB2312" w:cs="仿宋_GB2312" w:eastAsia="仿宋_GB2312"/>
                <w:sz w:val="20"/>
              </w:rPr>
              <w:t>2.</w:t>
            </w:r>
            <w:r>
              <w:rPr>
                <w:rFonts w:ascii="仿宋_GB2312" w:hAnsi="仿宋_GB2312" w:cs="仿宋_GB2312" w:eastAsia="仿宋_GB2312"/>
                <w:sz w:val="20"/>
              </w:rPr>
              <w:t>在实施过程中需配备行业主流测试工具，遵循规范测试流程；</w:t>
            </w:r>
            <w:r>
              <w:rPr>
                <w:rFonts w:ascii="仿宋_GB2312" w:hAnsi="仿宋_GB2312" w:cs="仿宋_GB2312" w:eastAsia="仿宋_GB2312"/>
                <w:sz w:val="20"/>
              </w:rPr>
              <w:t>功能测试覆盖率100%；测试成果资料完整，测试报告需加盖公章、签字确认，纸质版及电子版同步提交，符合相关规范。</w:t>
            </w:r>
          </w:p>
          <w:p>
            <w:pPr>
              <w:pStyle w:val="null3"/>
              <w:ind w:firstLine="420"/>
            </w:pPr>
            <w:r>
              <w:rPr>
                <w:rFonts w:ascii="仿宋_GB2312" w:hAnsi="仿宋_GB2312" w:cs="仿宋_GB2312" w:eastAsia="仿宋_GB2312"/>
                <w:sz w:val="20"/>
              </w:rPr>
              <w:t>3.</w:t>
            </w:r>
            <w:r>
              <w:rPr>
                <w:rFonts w:ascii="仿宋_GB2312" w:hAnsi="仿宋_GB2312" w:cs="仿宋_GB2312" w:eastAsia="仿宋_GB2312"/>
                <w:sz w:val="20"/>
              </w:rPr>
              <w:t>严格保护测试数据、源代码等，严禁泄露、篡改；测试环境与生产环境隔离，配备安全防护措施。</w:t>
            </w:r>
          </w:p>
          <w:p>
            <w:pPr>
              <w:pStyle w:val="null3"/>
              <w:ind w:firstLine="420"/>
              <w:jc w:val="both"/>
            </w:pPr>
            <w:r>
              <w:rPr>
                <w:rFonts w:ascii="仿宋_GB2312" w:hAnsi="仿宋_GB2312" w:cs="仿宋_GB2312" w:eastAsia="仿宋_GB2312"/>
                <w:sz w:val="21"/>
              </w:rPr>
              <w:t>4.</w:t>
            </w:r>
            <w:r>
              <w:rPr>
                <w:rFonts w:ascii="仿宋_GB2312" w:hAnsi="仿宋_GB2312" w:cs="仿宋_GB2312" w:eastAsia="仿宋_GB2312"/>
                <w:sz w:val="21"/>
              </w:rPr>
              <w:t>拟派的测试人员需具有权威机构颁发的软件测试资质。</w:t>
            </w:r>
            <w:r>
              <w:rPr>
                <w:rFonts w:ascii="仿宋_GB2312" w:hAnsi="仿宋_GB2312" w:cs="仿宋_GB2312" w:eastAsia="仿宋_GB2312"/>
                <w:sz w:val="20"/>
              </w:rPr>
              <w:t>并参与项目的竣工验收。</w:t>
            </w:r>
          </w:p>
          <w:p>
            <w:pPr>
              <w:pStyle w:val="null3"/>
              <w:ind w:firstLine="420"/>
            </w:pPr>
            <w:r>
              <w:rPr>
                <w:rFonts w:ascii="仿宋_GB2312" w:hAnsi="仿宋_GB2312" w:cs="仿宋_GB2312" w:eastAsia="仿宋_GB2312"/>
                <w:sz w:val="21"/>
              </w:rPr>
              <w:t>5.</w:t>
            </w:r>
            <w:r>
              <w:rPr>
                <w:rFonts w:ascii="仿宋_GB2312" w:hAnsi="仿宋_GB2312" w:cs="仿宋_GB2312" w:eastAsia="仿宋_GB2312"/>
                <w:sz w:val="21"/>
              </w:rPr>
              <w:t>保密要求。</w:t>
            </w:r>
            <w:r>
              <w:rPr>
                <w:rFonts w:ascii="仿宋_GB2312" w:hAnsi="仿宋_GB2312" w:cs="仿宋_GB2312" w:eastAsia="仿宋_GB2312"/>
                <w:sz w:val="21"/>
              </w:rPr>
              <w:t>供应商必须提供对本项目的保密承诺，签订保密协议，保证对项目实施过程中产生的各类技术文件、信息以及由采购人提供的所有内部资料、技术文档和信息予以保密；未经采购人书面许可，供应商不得以任何形式向第三方透露本项目标书以及本项目的任何内容。</w:t>
            </w:r>
          </w:p>
        </w:tc>
      </w:tr>
    </w:tbl>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标的名称：网络安全等级保护测评</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b/>
              </w:rPr>
              <w:t>一、项目概况</w:t>
            </w:r>
          </w:p>
          <w:p>
            <w:pPr>
              <w:pStyle w:val="null3"/>
              <w:ind w:firstLine="400"/>
            </w:pPr>
            <w:r>
              <w:rPr>
                <w:rFonts w:ascii="仿宋_GB2312" w:hAnsi="仿宋_GB2312" w:cs="仿宋_GB2312" w:eastAsia="仿宋_GB2312"/>
                <w:sz w:val="20"/>
              </w:rPr>
              <w:t>陕西省信息中心政务应用系统信创适配整合迁移项目网络安全等级保护测评</w:t>
            </w:r>
            <w:r>
              <w:rPr>
                <w:rFonts w:ascii="仿宋_GB2312" w:hAnsi="仿宋_GB2312" w:cs="仿宋_GB2312" w:eastAsia="仿宋_GB2312"/>
                <w:sz w:val="20"/>
              </w:rPr>
              <w:t>服务项目</w:t>
            </w:r>
          </w:p>
          <w:p>
            <w:pPr>
              <w:pStyle w:val="null3"/>
            </w:pPr>
            <w:r>
              <w:rPr>
                <w:rFonts w:ascii="仿宋_GB2312" w:hAnsi="仿宋_GB2312" w:cs="仿宋_GB2312" w:eastAsia="仿宋_GB2312"/>
                <w:sz w:val="20"/>
                <w:b/>
              </w:rPr>
              <w:t>二、服务</w:t>
            </w:r>
            <w:r>
              <w:rPr>
                <w:rFonts w:ascii="仿宋_GB2312" w:hAnsi="仿宋_GB2312" w:cs="仿宋_GB2312" w:eastAsia="仿宋_GB2312"/>
                <w:sz w:val="20"/>
                <w:b/>
              </w:rPr>
              <w:t>内容</w:t>
            </w:r>
          </w:p>
          <w:p>
            <w:pPr>
              <w:pStyle w:val="null3"/>
              <w:ind w:firstLine="400"/>
            </w:pPr>
            <w:r>
              <w:rPr>
                <w:rFonts w:ascii="仿宋_GB2312" w:hAnsi="仿宋_GB2312" w:cs="仿宋_GB2312" w:eastAsia="仿宋_GB2312"/>
                <w:sz w:val="20"/>
              </w:rPr>
              <w:t>做好系统的定级备案工作，通过专业、全面的测评，识别系统在安全物理环境、安全网络环境、安全计算环境、安全应用环境、安全管理环境等方面存在的安全隐患及不符合项，配合完成整改和复测，出具测评报告，确保2个信息系统达到第三级等级保护要求，保障系统网络安全、数据安全及业务连续稳定运行。</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系统调研服务</w:t>
            </w:r>
          </w:p>
          <w:p>
            <w:pPr>
              <w:pStyle w:val="null3"/>
              <w:ind w:firstLine="400"/>
            </w:pPr>
            <w:r>
              <w:rPr>
                <w:rFonts w:ascii="仿宋_GB2312" w:hAnsi="仿宋_GB2312" w:cs="仿宋_GB2312" w:eastAsia="仿宋_GB2312"/>
                <w:sz w:val="20"/>
              </w:rPr>
              <w:t>对信息系统进行调研和梳理，了解系统当前信息系统资产现状，制定测评方案。</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现场测评服务</w:t>
            </w:r>
          </w:p>
          <w:p>
            <w:pPr>
              <w:pStyle w:val="null3"/>
              <w:ind w:firstLine="400"/>
            </w:pPr>
            <w:r>
              <w:rPr>
                <w:rFonts w:ascii="仿宋_GB2312" w:hAnsi="仿宋_GB2312" w:cs="仿宋_GB2312" w:eastAsia="仿宋_GB2312"/>
                <w:sz w:val="20"/>
              </w:rPr>
              <w:t>采用访谈、检查、测试等方式，对物理、网络、计算、应用、管理环境进行全面测评，全程记录测评过程及结果。</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差距分析服务</w:t>
            </w:r>
          </w:p>
          <w:p>
            <w:pPr>
              <w:pStyle w:val="null3"/>
              <w:ind w:firstLine="400"/>
            </w:pPr>
            <w:r>
              <w:rPr>
                <w:rFonts w:ascii="仿宋_GB2312" w:hAnsi="仿宋_GB2312" w:cs="仿宋_GB2312" w:eastAsia="仿宋_GB2312"/>
                <w:sz w:val="20"/>
              </w:rPr>
              <w:t>覆盖系统全范围，对照等保标准排查不符合项，编制差距分析报告，提出针对性整改建议。</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整改指导与复测服务</w:t>
            </w:r>
          </w:p>
          <w:p>
            <w:pPr>
              <w:pStyle w:val="null3"/>
              <w:ind w:firstLine="400"/>
            </w:pPr>
            <w:r>
              <w:rPr>
                <w:rFonts w:ascii="仿宋_GB2312" w:hAnsi="仿宋_GB2312" w:cs="仿宋_GB2312" w:eastAsia="仿宋_GB2312"/>
                <w:sz w:val="20"/>
              </w:rPr>
              <w:t>指导采购人制定整改方案、开展整改工作并验证整改效果；对不符合项开展全面复测，编制复测报告，确认系统达标情况。</w:t>
            </w:r>
          </w:p>
          <w:p>
            <w:pPr>
              <w:pStyle w:val="null3"/>
              <w:ind w:firstLine="400"/>
            </w:pPr>
            <w:r>
              <w:rPr>
                <w:rFonts w:ascii="仿宋_GB2312" w:hAnsi="仿宋_GB2312" w:cs="仿宋_GB2312" w:eastAsia="仿宋_GB2312"/>
                <w:sz w:val="20"/>
              </w:rPr>
              <w:t>5.</w:t>
            </w:r>
            <w:r>
              <w:rPr>
                <w:rFonts w:ascii="仿宋_GB2312" w:hAnsi="仿宋_GB2312" w:cs="仿宋_GB2312" w:eastAsia="仿宋_GB2312"/>
                <w:sz w:val="20"/>
              </w:rPr>
              <w:t>测评报告编制与提交</w:t>
            </w:r>
          </w:p>
          <w:p>
            <w:pPr>
              <w:pStyle w:val="null3"/>
              <w:ind w:firstLine="400"/>
            </w:pPr>
            <w:r>
              <w:rPr>
                <w:rFonts w:ascii="仿宋_GB2312" w:hAnsi="仿宋_GB2312" w:cs="仿宋_GB2312" w:eastAsia="仿宋_GB2312"/>
                <w:sz w:val="20"/>
              </w:rPr>
              <w:t>编制完整合规的等保测评报告，审核后提交纸质版（一式三份）及电子版，确保可用于备案、检查及验收。</w:t>
            </w:r>
          </w:p>
          <w:p>
            <w:pPr>
              <w:pStyle w:val="null3"/>
              <w:ind w:firstLine="400"/>
            </w:pPr>
            <w:r>
              <w:rPr>
                <w:rFonts w:ascii="仿宋_GB2312" w:hAnsi="仿宋_GB2312" w:cs="仿宋_GB2312" w:eastAsia="仿宋_GB2312"/>
                <w:sz w:val="20"/>
              </w:rPr>
              <w:t>6.</w:t>
            </w:r>
            <w:r>
              <w:rPr>
                <w:rFonts w:ascii="仿宋_GB2312" w:hAnsi="仿宋_GB2312" w:cs="仿宋_GB2312" w:eastAsia="仿宋_GB2312"/>
                <w:sz w:val="20"/>
              </w:rPr>
              <w:t>测评系统范围</w:t>
            </w:r>
          </w:p>
          <w:p>
            <w:pPr>
              <w:pStyle w:val="null3"/>
              <w:ind w:firstLine="400"/>
            </w:pPr>
            <w:r>
              <w:rPr>
                <w:rFonts w:ascii="仿宋_GB2312" w:hAnsi="仿宋_GB2312" w:cs="仿宋_GB2312" w:eastAsia="仿宋_GB2312"/>
                <w:sz w:val="20"/>
              </w:rPr>
              <w:t>覆盖项目机房、网络设备、计算设备、软件系统、数据资产及管理环境，确保测评全面无遗漏。</w:t>
            </w:r>
          </w:p>
          <w:p>
            <w:pPr>
              <w:pStyle w:val="null3"/>
              <w:ind w:firstLine="400"/>
              <w:jc w:val="both"/>
            </w:pPr>
            <w:r>
              <w:rPr>
                <w:rFonts w:ascii="仿宋_GB2312" w:hAnsi="仿宋_GB2312" w:cs="仿宋_GB2312" w:eastAsia="仿宋_GB2312"/>
                <w:sz w:val="20"/>
              </w:rPr>
              <w:t>7.</w:t>
            </w:r>
            <w:r>
              <w:rPr>
                <w:rFonts w:ascii="仿宋_GB2312" w:hAnsi="仿宋_GB2312" w:cs="仿宋_GB2312" w:eastAsia="仿宋_GB2312"/>
                <w:sz w:val="20"/>
              </w:rPr>
              <w:t>交付成果。</w:t>
            </w:r>
            <w:r>
              <w:rPr>
                <w:rFonts w:ascii="仿宋_GB2312" w:hAnsi="仿宋_GB2312" w:cs="仿宋_GB2312" w:eastAsia="仿宋_GB2312"/>
                <w:sz w:val="20"/>
              </w:rPr>
              <w:t>等保测评报告</w:t>
            </w:r>
            <w:r>
              <w:rPr>
                <w:rFonts w:ascii="仿宋_GB2312" w:hAnsi="仿宋_GB2312" w:cs="仿宋_GB2312" w:eastAsia="仿宋_GB2312"/>
                <w:sz w:val="20"/>
              </w:rPr>
              <w:t>一式三份。</w:t>
            </w:r>
          </w:p>
          <w:p>
            <w:pPr>
              <w:pStyle w:val="null3"/>
            </w:pPr>
            <w:r>
              <w:rPr>
                <w:rFonts w:ascii="仿宋_GB2312" w:hAnsi="仿宋_GB2312" w:cs="仿宋_GB2312" w:eastAsia="仿宋_GB2312"/>
                <w:sz w:val="20"/>
                <w:b/>
              </w:rPr>
              <w:t>三、服务</w:t>
            </w:r>
            <w:r>
              <w:rPr>
                <w:rFonts w:ascii="仿宋_GB2312" w:hAnsi="仿宋_GB2312" w:cs="仿宋_GB2312" w:eastAsia="仿宋_GB2312"/>
                <w:sz w:val="20"/>
                <w:b/>
              </w:rPr>
              <w:t>要求</w:t>
            </w:r>
          </w:p>
          <w:p>
            <w:pPr>
              <w:pStyle w:val="null3"/>
              <w:ind w:firstLine="400"/>
            </w:pPr>
            <w:r>
              <w:rPr>
                <w:rFonts w:ascii="仿宋_GB2312" w:hAnsi="仿宋_GB2312" w:cs="仿宋_GB2312" w:eastAsia="仿宋_GB2312"/>
                <w:sz w:val="20"/>
              </w:rPr>
              <w:t>1.</w:t>
            </w:r>
            <w:r>
              <w:rPr>
                <w:rFonts w:ascii="仿宋_GB2312" w:hAnsi="仿宋_GB2312" w:cs="仿宋_GB2312" w:eastAsia="仿宋_GB2312"/>
                <w:sz w:val="20"/>
              </w:rPr>
              <w:t>测评服务参照《GB/T22239-2019信息安全技术网络安全等级保护基本要求》《GB/T28448-2019信息安全技术网络安全等级保护测评要求》和《GB/T28449-2018信息安全技术网络安全等级保护测评过程指南》等执行。</w:t>
            </w:r>
          </w:p>
          <w:p>
            <w:pPr>
              <w:pStyle w:val="null3"/>
              <w:ind w:firstLine="400"/>
            </w:pPr>
            <w:r>
              <w:rPr>
                <w:rFonts w:ascii="仿宋_GB2312" w:hAnsi="仿宋_GB2312" w:cs="仿宋_GB2312" w:eastAsia="仿宋_GB2312"/>
                <w:sz w:val="20"/>
              </w:rPr>
              <w:t>2</w:t>
            </w:r>
            <w:r>
              <w:rPr>
                <w:rFonts w:ascii="仿宋_GB2312" w:hAnsi="仿宋_GB2312" w:cs="仿宋_GB2312" w:eastAsia="仿宋_GB2312"/>
                <w:sz w:val="20"/>
              </w:rPr>
              <w:t>.</w:t>
            </w:r>
            <w:r>
              <w:rPr>
                <w:rFonts w:ascii="仿宋_GB2312" w:hAnsi="仿宋_GB2312" w:cs="仿宋_GB2312" w:eastAsia="仿宋_GB2312"/>
                <w:sz w:val="20"/>
              </w:rPr>
              <w:t>项目实施过</w:t>
            </w:r>
            <w:r>
              <w:rPr>
                <w:rFonts w:ascii="仿宋_GB2312" w:hAnsi="仿宋_GB2312" w:cs="仿宋_GB2312" w:eastAsia="仿宋_GB2312"/>
                <w:sz w:val="20"/>
              </w:rPr>
              <w:t>程中</w:t>
            </w:r>
            <w:r>
              <w:rPr>
                <w:rFonts w:ascii="仿宋_GB2312" w:hAnsi="仿宋_GB2312" w:cs="仿宋_GB2312" w:eastAsia="仿宋_GB2312"/>
                <w:sz w:val="20"/>
              </w:rPr>
              <w:t>要求配备专用的设备以及工具</w:t>
            </w:r>
            <w:r>
              <w:rPr>
                <w:rFonts w:ascii="仿宋_GB2312" w:hAnsi="仿宋_GB2312" w:cs="仿宋_GB2312" w:eastAsia="仿宋_GB2312"/>
                <w:sz w:val="20"/>
              </w:rPr>
              <w:t>。</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测评人员应具有相关资质证书。</w:t>
            </w:r>
          </w:p>
          <w:p>
            <w:pPr>
              <w:pStyle w:val="null3"/>
              <w:ind w:firstLine="400"/>
            </w:pPr>
            <w:r>
              <w:rPr>
                <w:rFonts w:ascii="仿宋_GB2312" w:hAnsi="仿宋_GB2312" w:cs="仿宋_GB2312" w:eastAsia="仿宋_GB2312"/>
                <w:sz w:val="20"/>
              </w:rPr>
              <w:t>4.</w:t>
            </w:r>
            <w:r>
              <w:rPr>
                <w:rFonts w:ascii="仿宋_GB2312" w:hAnsi="仿宋_GB2312" w:cs="仿宋_GB2312" w:eastAsia="仿宋_GB2312"/>
                <w:sz w:val="20"/>
              </w:rPr>
              <w:t>测评机构</w:t>
            </w:r>
            <w:r>
              <w:rPr>
                <w:rFonts w:ascii="仿宋_GB2312" w:hAnsi="仿宋_GB2312" w:cs="仿宋_GB2312" w:eastAsia="仿宋_GB2312"/>
                <w:sz w:val="20"/>
              </w:rPr>
              <w:t>应当遵循面向应用、保证质量、客观公正、诚信守诺的原则。保证服务内容质量完全符合合同规定的要求，对服务内容质量问题负责</w:t>
            </w:r>
            <w:r>
              <w:rPr>
                <w:rFonts w:ascii="仿宋_GB2312" w:hAnsi="仿宋_GB2312" w:cs="仿宋_GB2312" w:eastAsia="仿宋_GB2312"/>
                <w:sz w:val="20"/>
              </w:rPr>
              <w:t>，并参与项目的竣工验收。</w:t>
            </w:r>
          </w:p>
          <w:p>
            <w:pPr>
              <w:pStyle w:val="null3"/>
            </w:pPr>
            <w:r>
              <w:rPr>
                <w:rFonts w:ascii="仿宋_GB2312" w:hAnsi="仿宋_GB2312" w:cs="仿宋_GB2312" w:eastAsia="仿宋_GB2312"/>
                <w:sz w:val="21"/>
              </w:rPr>
              <w:t>5.</w:t>
            </w:r>
            <w:r>
              <w:rPr>
                <w:rFonts w:ascii="仿宋_GB2312" w:hAnsi="仿宋_GB2312" w:cs="仿宋_GB2312" w:eastAsia="仿宋_GB2312"/>
                <w:sz w:val="21"/>
              </w:rPr>
              <w:t>保密要求。</w:t>
            </w:r>
            <w:r>
              <w:rPr>
                <w:rFonts w:ascii="仿宋_GB2312" w:hAnsi="仿宋_GB2312" w:cs="仿宋_GB2312" w:eastAsia="仿宋_GB2312"/>
                <w:sz w:val="21"/>
              </w:rPr>
              <w:t>供应商必须提供对本项目的保密承诺，签订保密协议，保证对项目实施过程中产生的各类技术文件、信息以及由采购人提供的所有内部资料、技术文档和信息予以保密；未经采购人书面许可，供应商不得以任何形式向第三方透露本项目标书以及本项目的任何内容。</w:t>
            </w:r>
          </w:p>
        </w:tc>
      </w:tr>
    </w:tbl>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标的名称：密码应用安全性评估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项目概况</w:t>
            </w:r>
          </w:p>
          <w:p>
            <w:pPr>
              <w:pStyle w:val="null3"/>
              <w:ind w:firstLine="400"/>
              <w:jc w:val="both"/>
            </w:pPr>
            <w:r>
              <w:rPr>
                <w:rFonts w:ascii="仿宋_GB2312" w:hAnsi="仿宋_GB2312" w:cs="仿宋_GB2312" w:eastAsia="仿宋_GB2312"/>
                <w:sz w:val="20"/>
              </w:rPr>
              <w:t>陕西省信息中心政务应用系统信创适配整合迁移项目商用密码应用安全性评估服务项目</w:t>
            </w:r>
          </w:p>
          <w:p>
            <w:pPr>
              <w:pStyle w:val="null3"/>
              <w:jc w:val="both"/>
            </w:pPr>
            <w:r>
              <w:rPr>
                <w:rFonts w:ascii="仿宋_GB2312" w:hAnsi="仿宋_GB2312" w:cs="仿宋_GB2312" w:eastAsia="仿宋_GB2312"/>
                <w:sz w:val="20"/>
                <w:b/>
              </w:rPr>
              <w:t>二、服务内容</w:t>
            </w:r>
          </w:p>
          <w:p>
            <w:pPr>
              <w:pStyle w:val="null3"/>
              <w:ind w:firstLine="400"/>
              <w:jc w:val="both"/>
            </w:pPr>
            <w:r>
              <w:rPr>
                <w:rFonts w:ascii="仿宋_GB2312" w:hAnsi="仿宋_GB2312" w:cs="仿宋_GB2312" w:eastAsia="仿宋_GB2312"/>
                <w:sz w:val="20"/>
              </w:rPr>
              <w:t>对商用密码方案进行评估，出具密码应用方案评估报告，进行现场测评，</w:t>
            </w:r>
            <w:r>
              <w:rPr>
                <w:rFonts w:ascii="仿宋_GB2312" w:hAnsi="仿宋_GB2312" w:cs="仿宋_GB2312" w:eastAsia="仿宋_GB2312"/>
                <w:sz w:val="20"/>
              </w:rPr>
              <w:t>根据业务系统情况出具《系统商用密码应用安全整改建议》，协助采购人进行问题整改，整改后进行复测评，出具《商用密码应用安全性评估报告》并取得主管单位出具的《商用密码应用安全性评估备案证明》，并对人员进行技术培训。</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评估准备：掌握被评系统的详细情况，准备评估工具，为编制评估方案做好准备</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方案编制：确定与被测系统相适应的测评对象、测评指标及测评内容等，形成测评方案，为实施现场测评提供依据。</w:t>
            </w:r>
          </w:p>
          <w:p>
            <w:pPr>
              <w:pStyle w:val="null3"/>
              <w:ind w:firstLine="400"/>
              <w:jc w:val="both"/>
            </w:pPr>
            <w:r>
              <w:rPr>
                <w:rFonts w:ascii="仿宋_GB2312" w:hAnsi="仿宋_GB2312" w:cs="仿宋_GB2312" w:eastAsia="仿宋_GB2312"/>
                <w:sz w:val="20"/>
              </w:rPr>
              <w:t>3.</w:t>
            </w:r>
            <w:r>
              <w:rPr>
                <w:rFonts w:ascii="仿宋_GB2312" w:hAnsi="仿宋_GB2312" w:cs="仿宋_GB2312" w:eastAsia="仿宋_GB2312"/>
                <w:sz w:val="20"/>
              </w:rPr>
              <w:t>现场测评：分步实施所有测评项目，包括单项测评、测评单元和整体测评等方面，以了解系统的真实保护情况，获取足够证据，发现系统存在的密码应用安全性问题。</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分析与报告编制：根据现场测评结果和《信息系统密码应用基本要求》等文件的有关要求，通过单项测评结果判定、测评单元结果判定、整体测评和风险分析等方法，找出整个系统商用密码的安全保护现状与相应等级的保护要求之间的差距，并分析这些差距导致被测系统面临的风险，从而给出测评结论，形成测评报告文本。</w:t>
            </w:r>
          </w:p>
          <w:p>
            <w:pPr>
              <w:pStyle w:val="null3"/>
              <w:ind w:firstLine="400"/>
              <w:jc w:val="both"/>
            </w:pPr>
            <w:r>
              <w:rPr>
                <w:rFonts w:ascii="仿宋_GB2312" w:hAnsi="仿宋_GB2312" w:cs="仿宋_GB2312" w:eastAsia="仿宋_GB2312"/>
                <w:sz w:val="20"/>
              </w:rPr>
              <w:t>5.</w:t>
            </w:r>
            <w:r>
              <w:rPr>
                <w:rFonts w:ascii="仿宋_GB2312" w:hAnsi="仿宋_GB2312" w:cs="仿宋_GB2312" w:eastAsia="仿宋_GB2312"/>
                <w:sz w:val="20"/>
              </w:rPr>
              <w:t>整改咨询阶段：建设整改咨询工作以测评发现的问题为重点，编写信息系统密码测评整改建议；开展建设整改工作时，投标人提供建设整改相关的咨询服务。</w:t>
            </w:r>
          </w:p>
          <w:p>
            <w:pPr>
              <w:pStyle w:val="null3"/>
              <w:ind w:firstLine="400"/>
              <w:jc w:val="both"/>
            </w:pPr>
            <w:r>
              <w:rPr>
                <w:rFonts w:ascii="仿宋_GB2312" w:hAnsi="仿宋_GB2312" w:cs="仿宋_GB2312" w:eastAsia="仿宋_GB2312"/>
                <w:sz w:val="20"/>
              </w:rPr>
              <w:t>6.</w:t>
            </w:r>
            <w:r>
              <w:rPr>
                <w:rFonts w:ascii="仿宋_GB2312" w:hAnsi="仿宋_GB2312" w:cs="仿宋_GB2312" w:eastAsia="仿宋_GB2312"/>
                <w:sz w:val="20"/>
              </w:rPr>
              <w:t>交付成果。商用密码应用安全性评估报告</w:t>
            </w:r>
            <w:r>
              <w:rPr>
                <w:rFonts w:ascii="仿宋_GB2312" w:hAnsi="仿宋_GB2312" w:cs="仿宋_GB2312" w:eastAsia="仿宋_GB2312"/>
                <w:sz w:val="20"/>
              </w:rPr>
              <w:t>一式三份。</w:t>
            </w:r>
          </w:p>
          <w:p>
            <w:pPr>
              <w:pStyle w:val="null3"/>
              <w:jc w:val="both"/>
            </w:pPr>
            <w:r>
              <w:rPr>
                <w:rFonts w:ascii="仿宋_GB2312" w:hAnsi="仿宋_GB2312" w:cs="仿宋_GB2312" w:eastAsia="仿宋_GB2312"/>
                <w:sz w:val="20"/>
                <w:b/>
              </w:rPr>
              <w:t>三、服务要求</w:t>
            </w:r>
          </w:p>
          <w:p>
            <w:pPr>
              <w:pStyle w:val="null3"/>
              <w:ind w:firstLine="400"/>
              <w:jc w:val="both"/>
            </w:pPr>
            <w:r>
              <w:rPr>
                <w:rFonts w:ascii="仿宋_GB2312" w:hAnsi="仿宋_GB2312" w:cs="仿宋_GB2312" w:eastAsia="仿宋_GB2312"/>
                <w:sz w:val="20"/>
              </w:rPr>
              <w:t>1.</w:t>
            </w:r>
            <w:r>
              <w:rPr>
                <w:rFonts w:ascii="仿宋_GB2312" w:hAnsi="仿宋_GB2312" w:cs="仿宋_GB2312" w:eastAsia="仿宋_GB2312"/>
                <w:sz w:val="20"/>
              </w:rPr>
              <w:t>评估服务参照《GB/T39786-2021信息安全技术信息系统密码应用基本要求》《GM/T0115-2021信息系统密码应用测评要求》《商用密码应用安全性评估测评过程指南（试行）》《商用密码应用安全性评估测评作业指导书（试行）》等执行；</w:t>
            </w:r>
          </w:p>
          <w:p>
            <w:pPr>
              <w:pStyle w:val="null3"/>
              <w:ind w:firstLine="400"/>
              <w:jc w:val="both"/>
            </w:pPr>
            <w:r>
              <w:rPr>
                <w:rFonts w:ascii="仿宋_GB2312" w:hAnsi="仿宋_GB2312" w:cs="仿宋_GB2312" w:eastAsia="仿宋_GB2312"/>
                <w:sz w:val="20"/>
              </w:rPr>
              <w:t>2.</w:t>
            </w:r>
            <w:r>
              <w:rPr>
                <w:rFonts w:ascii="仿宋_GB2312" w:hAnsi="仿宋_GB2312" w:cs="仿宋_GB2312" w:eastAsia="仿宋_GB2312"/>
                <w:sz w:val="20"/>
              </w:rPr>
              <w:t>项目实施过程中要求配备专用的设备以及工具。</w:t>
            </w:r>
          </w:p>
          <w:p>
            <w:pPr>
              <w:pStyle w:val="null3"/>
              <w:ind w:firstLine="400"/>
            </w:pPr>
            <w:r>
              <w:rPr>
                <w:rFonts w:ascii="仿宋_GB2312" w:hAnsi="仿宋_GB2312" w:cs="仿宋_GB2312" w:eastAsia="仿宋_GB2312"/>
                <w:sz w:val="20"/>
              </w:rPr>
              <w:t>3.</w:t>
            </w:r>
            <w:r>
              <w:rPr>
                <w:rFonts w:ascii="仿宋_GB2312" w:hAnsi="仿宋_GB2312" w:cs="仿宋_GB2312" w:eastAsia="仿宋_GB2312"/>
                <w:sz w:val="20"/>
              </w:rPr>
              <w:t>测评人员应具有相关资质证书。</w:t>
            </w:r>
          </w:p>
          <w:p>
            <w:pPr>
              <w:pStyle w:val="null3"/>
              <w:ind w:firstLine="400"/>
              <w:jc w:val="both"/>
            </w:pPr>
            <w:r>
              <w:rPr>
                <w:rFonts w:ascii="仿宋_GB2312" w:hAnsi="仿宋_GB2312" w:cs="仿宋_GB2312" w:eastAsia="仿宋_GB2312"/>
                <w:sz w:val="20"/>
              </w:rPr>
              <w:t>4.</w:t>
            </w:r>
            <w:r>
              <w:rPr>
                <w:rFonts w:ascii="仿宋_GB2312" w:hAnsi="仿宋_GB2312" w:cs="仿宋_GB2312" w:eastAsia="仿宋_GB2312"/>
                <w:sz w:val="20"/>
              </w:rPr>
              <w:t>测评机构应当遵循面向应用、保证质量、客观公正、诚信守诺的原则。保证服务内容质量完全符合合同规定的要求，对服务内容质量问题负责，并参与项目的竣工验收。</w:t>
            </w:r>
          </w:p>
          <w:p>
            <w:pPr>
              <w:pStyle w:val="null3"/>
            </w:pPr>
            <w:r>
              <w:rPr>
                <w:rFonts w:ascii="仿宋_GB2312" w:hAnsi="仿宋_GB2312" w:cs="仿宋_GB2312" w:eastAsia="仿宋_GB2312"/>
                <w:sz w:val="20"/>
              </w:rPr>
              <w:t>5.</w:t>
            </w:r>
            <w:r>
              <w:rPr>
                <w:rFonts w:ascii="仿宋_GB2312" w:hAnsi="仿宋_GB2312" w:cs="仿宋_GB2312" w:eastAsia="仿宋_GB2312"/>
                <w:sz w:val="20"/>
              </w:rPr>
              <w:t>保密要求。</w:t>
            </w:r>
            <w:r>
              <w:rPr>
                <w:rFonts w:ascii="仿宋_GB2312" w:hAnsi="仿宋_GB2312" w:cs="仿宋_GB2312" w:eastAsia="仿宋_GB2312"/>
                <w:sz w:val="20"/>
              </w:rPr>
              <w:t>供应商必须提供对本项目的保密承诺，签订保密协议，保证对项目实施过程中产生的各类技术文件、信息以及由采购人提供的所有内部资料、技术文档和信息予以保密；未经采购人书面许可，供应商不得以任何形式向第三方透露本项目标书以及本项目的任何内容。</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组建的团队人员不少于7人（含项目负责人和技术负责人），1、拟派项目负责人具有信息系统项目管理师证书；2、拟派项目技术负责人具备：系统分析师、系统架构设计师或系统规划与管理师资质证书；3、拟派团队其他成员具备：信息系统项目管理师、软件设计师、数据库系统工程师、软件测试工程师、信息安全工程师资质证书。（注：团队其他成员同一人员具有多个证书的，不重复计分；提供配备人员开标前近三个月的社保缴纳证明，以上证件提供复印件加盖公章。）以上证书及社保证明资料未提供不计分。</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供应商组建的团队人员不少于4人（含项目负责人），1、拟派项目负责人具有信息系统项目管理师证书；2、拟派团队其他成员具备：信息系统项目管理师、软件设计师、数据库系统工程师、软件测试工程师、信息安全工程师资质证书。（注：团队其他成员同一人员具有多个证书的，不重复计分；提供配备人员开标前近三个月的社保缴纳证明，以上证件提供复印件加盖公章。）以上证书及社保证明资料未提供不计分。</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供应商组建的团队人员不少于5人（含总监理工程师），1、拟派总监理工程师具有信息系统工程监理工程师、信息系统项目管理师证书。2.拟派团队其他成员具有信息系统监理师资质证书。（注：团队其他成员同一人员具有多个证书的，不重复计分；提供配备人员开标前近三个月的社保缴纳证明，以上证件提供复印件加盖公章。）以上证书及社保证明资料未提供不计分。</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供应商组建的团队人员不少于5人（含项目负责人），1.拟派项目负责人具有注册会计师证书；2.拟派结算审核负责人具有软件工程造价师证书；3.拟派竣工财务决算审计负责人具有注册会计师证书；4.拟派项目组其他人员具有注册会计师证或中级及以上会计师证书。（注：团队其他成员同一人员具有多个证书的，不重复计分；提供配备人员开标前近三个月的社保缴纳证明，以上证件提供复印件加盖公章。）以上证书及社保证明资料未提供不计分。</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供应商组建的团队人员不少于4人（含项目负责人），1.拟派项目负责人具有软件测评项目管理经验（提供项目合同，或验收报告等证明材料，提供复印件加盖公章），具有软件评测师证书；2.拟派技术团队其他人员具有软件评测师证书。（注：提供配备人员开标前近三个月的社保缴纳证明，以上证件提供复印件加盖公章。）以上证书及社保证明资料未提供不计分。</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供应商组建的团队人员不少于5人（含项目负责人），1.拟派项目负责人具有网络安全项目管理经验（提供项目合同，或验收报告等证明材料，提供复印件加盖公章），具有网络安全等级测评高级测评师证书；2.拟派技术团队人员具有网络安全等级测评师中级及以上证书。（注：提供配备人员开标前近三个月的社保缴纳证明，以上证件提供复印件加盖公章。）以上证书及社保证明资料未提供不计分。</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供应商组建的团队人员不少于5人（含项目负责人），1.拟派项目负责人具有商用密码应用安全性评估项目管理经验（提供项目合同，或验收报告等证明材料，提供复印件加盖公章），具有商用密码应用安全性评估从业人员考核合格证书；2.拟派技术团队人员具有商用密码应用安全性评估从业人员考核合格证书。（注：提供配备人员开标前近三个月的社保缴纳证明，以上证件提供复印件加盖公章。）以上证书及社保证明资料未提供不计分。</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按服务要求合理配置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按服务要求合理配置</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按服务要求合理配置</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按服务要求合理配置</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按服务要求合理配置</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按服务要求合理配置</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按服务要求合理配置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详见采购内容及要求。</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详见采购内容及要求。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自合同签订之日起6个月内完成项目实施，提供自终验之日起1年的信创适配改造工作相关售后技术支持</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自合同签订之日起6个月内完成项目实施，提供自终验之日起1年的信创适配改造工作相关售后技术支持。</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自合同签订之日起，至竣工验收合格止。</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自合同签订之日起，至竣工验收合格止。</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自合同签订之日起，至竣工验收合格止。</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自合同签订之日起，至竣工验收合格止。</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自合同签订之日起，至竣工验收合格止。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 xml:space="preserve"> 采购人指定地点</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采购人指定地点</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按照陕政数据〔2023〕6号文《关于印发省级政务信息化项目竣工验收管理办法（试行）》要求及合同约定执行。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分期付款</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完成合同全部内容并通过终验，达到付款条件起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采购包2：</w:t>
      </w:r>
      <w:r>
        <w:rPr>
          <w:rFonts w:ascii="仿宋_GB2312" w:hAnsi="仿宋_GB2312" w:cs="仿宋_GB2312" w:eastAsia="仿宋_GB2312"/>
        </w:rPr>
        <w:t xml:space="preserve"> 付款条件说明： </w:t>
      </w:r>
      <w:r>
        <w:rPr>
          <w:rFonts w:ascii="仿宋_GB2312" w:hAnsi="仿宋_GB2312" w:cs="仿宋_GB2312" w:eastAsia="仿宋_GB2312"/>
        </w:rPr>
        <w:t>完成合同全部内容并通过终验，达到付款条件起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采购包3：</w:t>
      </w:r>
      <w:r>
        <w:rPr>
          <w:rFonts w:ascii="仿宋_GB2312" w:hAnsi="仿宋_GB2312" w:cs="仿宋_GB2312" w:eastAsia="仿宋_GB2312"/>
        </w:rPr>
        <w:t xml:space="preserve"> 付款条件说明： </w:t>
      </w:r>
      <w:r>
        <w:rPr>
          <w:rFonts w:ascii="仿宋_GB2312" w:hAnsi="仿宋_GB2312" w:cs="仿宋_GB2312" w:eastAsia="仿宋_GB2312"/>
        </w:rPr>
        <w:t>完成合同全部内容并通过终验，达到付款条件起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采购包4：</w:t>
      </w:r>
      <w:r>
        <w:rPr>
          <w:rFonts w:ascii="仿宋_GB2312" w:hAnsi="仿宋_GB2312" w:cs="仿宋_GB2312" w:eastAsia="仿宋_GB2312"/>
        </w:rPr>
        <w:t xml:space="preserve"> 付款条件说明： </w:t>
      </w:r>
      <w:r>
        <w:rPr>
          <w:rFonts w:ascii="仿宋_GB2312" w:hAnsi="仿宋_GB2312" w:cs="仿宋_GB2312" w:eastAsia="仿宋_GB2312"/>
        </w:rPr>
        <w:t>完成合同全部内容并通过终验，达到付款条件起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采购包5：</w:t>
      </w:r>
      <w:r>
        <w:rPr>
          <w:rFonts w:ascii="仿宋_GB2312" w:hAnsi="仿宋_GB2312" w:cs="仿宋_GB2312" w:eastAsia="仿宋_GB2312"/>
        </w:rPr>
        <w:t xml:space="preserve"> 付款条件说明： </w:t>
      </w:r>
      <w:r>
        <w:rPr>
          <w:rFonts w:ascii="仿宋_GB2312" w:hAnsi="仿宋_GB2312" w:cs="仿宋_GB2312" w:eastAsia="仿宋_GB2312"/>
        </w:rPr>
        <w:t>完成合同全部内容并通过终验，达到付款条件起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采购包6：</w:t>
      </w:r>
      <w:r>
        <w:rPr>
          <w:rFonts w:ascii="仿宋_GB2312" w:hAnsi="仿宋_GB2312" w:cs="仿宋_GB2312" w:eastAsia="仿宋_GB2312"/>
        </w:rPr>
        <w:t xml:space="preserve"> 付款条件说明： </w:t>
      </w:r>
      <w:r>
        <w:rPr>
          <w:rFonts w:ascii="仿宋_GB2312" w:hAnsi="仿宋_GB2312" w:cs="仿宋_GB2312" w:eastAsia="仿宋_GB2312"/>
        </w:rPr>
        <w:t>完成合同全部内容并通过终验，达到付款条件起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合同签订后，达到付款条件</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采购包7：</w:t>
      </w:r>
      <w:r>
        <w:rPr>
          <w:rFonts w:ascii="仿宋_GB2312" w:hAnsi="仿宋_GB2312" w:cs="仿宋_GB2312" w:eastAsia="仿宋_GB2312"/>
        </w:rPr>
        <w:t xml:space="preserve"> 付款条件说明： </w:t>
      </w:r>
      <w:r>
        <w:rPr>
          <w:rFonts w:ascii="仿宋_GB2312" w:hAnsi="仿宋_GB2312" w:cs="仿宋_GB2312" w:eastAsia="仿宋_GB2312"/>
        </w:rPr>
        <w:t>完成合同全部内容并通过终验，达到付款条件起</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依据最终签订合同执行</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依据最终签订合同执行</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依据最终签订合同执行</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依据最终签订合同执行</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依据最终签订合同执行</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依据最终签订合同执行</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依据最终签订合同执行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具备履行合同所必需的设备和专业技术能力的证明材料（书面声明）。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无违法记录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法人授权委托书</w:t>
            </w:r>
          </w:p>
        </w:tc>
        <w:tc>
          <w:tcPr>
            <w:tcW w:type="dxa" w:w="3322"/>
          </w:tcPr>
          <w:p>
            <w:pPr>
              <w:pStyle w:val="null3"/>
            </w:pPr>
            <w:r>
              <w:rPr>
                <w:rFonts w:ascii="仿宋_GB2312" w:hAnsi="仿宋_GB2312" w:cs="仿宋_GB2312" w:eastAsia="仿宋_GB2312"/>
              </w:rPr>
              <w:t>供应商代表应提供法定代表人（单位负责人）授权书（附法定代表人（单位负责人）及被授权人身份证复印件）并提供被授权人身份证原件，（法定代表人（单位负责人）直接参加只须提供法定代表人（单位负责人）身份证）原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定代表人授权他人参加投标的须提供其为本单位人员的有效第三方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定代表人授权他人参加投标的须提供其为本单位人员的有效第三方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定代表人授权他人参加投标的须提供其为本单位人员的有效第三方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供应商须具备财政主管部门出具的有效会计师事务所执业证书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定代表人授权他人参加投标的须提供其为本单位人员的有效第三方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供应商须具有市场监督管理局颁发的CMA检验检测机构资质认定证书</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专业技术能力的声明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定代表人授权他人参加投标的须提供其为本单位人员的有效第三方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供应商须具有公安部第三研究所颁发的网络安全服务认证证书等级保护测评服务认证。</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提供有效存续的企业营业执照（副本）/事业单位法人证书/专业服务机构执业许可证/民办非企业单位登记证书/自然人具有身份证明文件。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近三年（2023-2025年）年度任意一年经会计师事务所审计并通过注册会计师行业统一监管平台备案赋码的审计报告（成立时间至提交响应文件截止时间不足一年的单位，可提供成立后任意时间段的资产负债表）或其基本存款账户开户银行出具的本年度资信证明，部分其他组织和自然人，没有经审计的财务报告，应提供银行出具的资信证明；或财政部门认可的政府采购专业担保机构出具的投标担保函。</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提供递交投标文件截止之日前六个月内任意一个月的社会保障资金缴存单据或社保机构开具的社会保险参保缴费情况证明。依法不需要缴纳社会保障资金的供应商应提供相关文件证明。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六个月内任意一个月的依法缴纳税收的相关凭据（时间以税款所属日期为准、税种包含增值税或企业所得税），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无违法记录</w:t>
            </w:r>
          </w:p>
        </w:tc>
        <w:tc>
          <w:tcPr>
            <w:tcW w:type="dxa" w:w="3322"/>
          </w:tcPr>
          <w:p>
            <w:pPr>
              <w:pStyle w:val="null3"/>
            </w:pPr>
            <w:r>
              <w:rPr>
                <w:rFonts w:ascii="仿宋_GB2312" w:hAnsi="仿宋_GB2312" w:cs="仿宋_GB2312" w:eastAsia="仿宋_GB2312"/>
              </w:rPr>
              <w:t>参加政府采购活动前3年内在经营活动中没有重大违法记录的书面声明。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人不得为“信用中国”网站（http://www.creditchina.gov.cn)列入“失信被执行人、重大税收违法失信主体”的供应商；不得为中国政府采购网（http://www.ccgp.gov.cn)“政府采购严重违法失信行为记录名单”中的供应商。（以代理机构开标当天查询结果为准）。</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提供具有履行本合同所必需的专业技术能力的声明。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响应文件中）；法定代表人授权他人参加投标的，须提供法定代表人授权委托书。法定代表人授权他人参加投标的，须提供其为本单位人员的有效第三方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联合要求</w:t>
            </w:r>
          </w:p>
        </w:tc>
        <w:tc>
          <w:tcPr>
            <w:tcW w:type="dxa" w:w="3322"/>
          </w:tcPr>
          <w:p>
            <w:pPr>
              <w:pStyle w:val="null3"/>
            </w:pPr>
            <w:r>
              <w:rPr>
                <w:rFonts w:ascii="仿宋_GB2312" w:hAnsi="仿宋_GB2312" w:cs="仿宋_GB2312" w:eastAsia="仿宋_GB2312"/>
              </w:rPr>
              <w:t>本项目不接受联合体投标。单位负责人为同一人或者存在直接控股、管理关系的不同供应商，不得参加同一合同项下的政府采购活动。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资格证明资料</w:t>
            </w:r>
          </w:p>
        </w:tc>
        <w:tc>
          <w:tcPr>
            <w:tcW w:type="dxa" w:w="3322"/>
          </w:tcPr>
          <w:p>
            <w:pPr>
              <w:pStyle w:val="null3"/>
            </w:pPr>
            <w:r>
              <w:rPr>
                <w:rFonts w:ascii="仿宋_GB2312" w:hAnsi="仿宋_GB2312" w:cs="仿宋_GB2312" w:eastAsia="仿宋_GB2312"/>
              </w:rPr>
              <w:t>供应商须在国家密码管理局公告（53号）发布的《商用密码检测机构（商用密码应用安全性评估业务）目录》内，具有商用密码检测机构资质证书。</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pPr>
      <w:r>
        <w:rPr>
          <w:rFonts w:ascii="仿宋_GB2312" w:hAnsi="仿宋_GB2312" w:cs="仿宋_GB2312" w:eastAsia="仿宋_GB2312"/>
        </w:rPr>
        <w:t>采购包3：综合评分法</w:t>
      </w:r>
    </w:p>
    <w:p>
      <w:pPr>
        <w:pStyle w:val="null3"/>
      </w:pPr>
      <w:r>
        <w:rPr>
          <w:rFonts w:ascii="仿宋_GB2312" w:hAnsi="仿宋_GB2312" w:cs="仿宋_GB2312" w:eastAsia="仿宋_GB2312"/>
        </w:rPr>
        <w:t>采购包4：综合评分法</w:t>
      </w:r>
    </w:p>
    <w:p>
      <w:pPr>
        <w:pStyle w:val="null3"/>
      </w:pPr>
      <w:r>
        <w:rPr>
          <w:rFonts w:ascii="仿宋_GB2312" w:hAnsi="仿宋_GB2312" w:cs="仿宋_GB2312" w:eastAsia="仿宋_GB2312"/>
        </w:rPr>
        <w:t>采购包5：综合评分法</w:t>
      </w:r>
    </w:p>
    <w:p>
      <w:pPr>
        <w:pStyle w:val="null3"/>
      </w:pPr>
      <w:r>
        <w:rPr>
          <w:rFonts w:ascii="仿宋_GB2312" w:hAnsi="仿宋_GB2312" w:cs="仿宋_GB2312" w:eastAsia="仿宋_GB2312"/>
        </w:rPr>
        <w:t>采购包6：综合评分法</w:t>
      </w:r>
    </w:p>
    <w:p>
      <w:pPr>
        <w:pStyle w:val="null3"/>
      </w:pPr>
      <w:r>
        <w:rPr>
          <w:rFonts w:ascii="仿宋_GB2312" w:hAnsi="仿宋_GB2312" w:cs="仿宋_GB2312" w:eastAsia="仿宋_GB2312"/>
        </w:rPr>
        <w:t>采购包7：综合评分法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投标函上法定代表人或其授权代表人的签字或加盖公章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投标函上法定代表人或其授权代表人的签字或加盖公章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投标函上法定代表人或其授权代表人的签字或加盖公章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投标函上法定代表人或其授权代表人的签字或加盖公章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投标函上法定代表人或其授权代表人的签字或加盖公章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投标函上法定代表人或其授权代表人的签字或加盖公章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（一）《关于推动解决政府采购异常低价问题的通知》（财库〔2026〕2 号）， 要求强化政府采购异常低价审查，政府采购评审中出现下列情形之一的，评审委 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2.投标（响应）报价低于通过符合性审查的次低报价供应商投标（响应）报价65%的，即投标（响应）报价&lt;通过符合性审查的次低报价供应商投标（响应）报价×65%； 3.投标（响应）报价低于采购项目最高限价65%的，即投标（响应）报价&lt;采购项目最高限价×65%； 4.评审委员会基于专业判断，认为供应商报价过低，有可能影响产品质量或者不能诚信履约的其他情形。 相关法律法规对供应商报价有规定的，从其规定。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 采购人、采购代理机构应当为评审委员会在评审现场及时获取同类项目中标（成交）价格、类似产品市场价格水平、行业人工费用标准、国家有关部门指导行业协会发布的行业平均成本等相关信息资料提供便利。评审委员会借助互联网等渠道查询相关信息的，应当严格遵守评审工作纪律，不得实施影响评审公正的行为。 异常低价投标（响应）审查的启动原因、审查意见和审查结果应当在评审报告中记录，并随供应商提供的相关书面说明及证明材料，以及评审委员会有关互联网浏览、查询历史一并归档。</w:t>
            </w:r>
          </w:p>
        </w:tc>
        <w:tc>
          <w:tcPr>
            <w:tcW w:type="dxa" w:w="1661"/>
          </w:tcPr>
          <w:p>
            <w:pPr>
              <w:pStyle w:val="null3"/>
            </w:pPr>
            <w:r>
              <w:rPr>
                <w:rFonts w:ascii="仿宋_GB2312" w:hAnsi="仿宋_GB2312" w:cs="仿宋_GB2312" w:eastAsia="仿宋_GB2312"/>
              </w:rPr>
              <w:t>开标一览表 投标函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投标文件的签署盖章</w:t>
            </w:r>
          </w:p>
        </w:tc>
        <w:tc>
          <w:tcPr>
            <w:tcW w:type="dxa" w:w="3322"/>
          </w:tcPr>
          <w:p>
            <w:pPr>
              <w:pStyle w:val="null3"/>
            </w:pPr>
            <w:r>
              <w:rPr>
                <w:rFonts w:ascii="仿宋_GB2312" w:hAnsi="仿宋_GB2312" w:cs="仿宋_GB2312" w:eastAsia="仿宋_GB2312"/>
              </w:rPr>
              <w:t>投标函上法定代表人或其授权代表人的签字或加盖公章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只能有一个有效报价，不得提交选择性报价，且报价不超过采购预算金额或单价最高限价</w:t>
            </w:r>
          </w:p>
        </w:tc>
        <w:tc>
          <w:tcPr>
            <w:tcW w:type="dxa" w:w="1661"/>
          </w:tcPr>
          <w:p>
            <w:pPr>
              <w:pStyle w:val="null3"/>
            </w:pPr>
            <w:r>
              <w:rPr>
                <w:rFonts w:ascii="仿宋_GB2312" w:hAnsi="仿宋_GB2312" w:cs="仿宋_GB2312" w:eastAsia="仿宋_GB2312"/>
              </w:rPr>
              <w:t>投标函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服务时间</w:t>
            </w:r>
          </w:p>
        </w:tc>
        <w:tc>
          <w:tcPr>
            <w:tcW w:type="dxa" w:w="3322"/>
          </w:tcPr>
          <w:p>
            <w:pPr>
              <w:pStyle w:val="null3"/>
            </w:pPr>
            <w:r>
              <w:rPr>
                <w:rFonts w:ascii="仿宋_GB2312" w:hAnsi="仿宋_GB2312" w:cs="仿宋_GB2312" w:eastAsia="仿宋_GB2312"/>
              </w:rPr>
              <w:t>应满足招标文件中要求的服务期</w:t>
            </w:r>
          </w:p>
        </w:tc>
        <w:tc>
          <w:tcPr>
            <w:tcW w:type="dxa" w:w="1661"/>
          </w:tcPr>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应满足招标文件中的规定</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其他无效投标的情形</w:t>
            </w:r>
          </w:p>
        </w:tc>
        <w:tc>
          <w:tcPr>
            <w:tcW w:type="dxa" w:w="3322"/>
          </w:tcPr>
          <w:p>
            <w:pPr>
              <w:pStyle w:val="null3"/>
            </w:pPr>
            <w:r>
              <w:rPr>
                <w:rFonts w:ascii="仿宋_GB2312" w:hAnsi="仿宋_GB2312" w:cs="仿宋_GB2312" w:eastAsia="仿宋_GB2312"/>
              </w:rPr>
              <w:t>出现法律法规或招标文件明确规定的其他被视为“无效投标”的情形及未实质性响应招标文件的情况</w:t>
            </w:r>
          </w:p>
        </w:tc>
        <w:tc>
          <w:tcPr>
            <w:tcW w:type="dxa" w:w="1661"/>
          </w:tcPr>
          <w:p>
            <w:pPr>
              <w:pStyle w:val="null3"/>
            </w:pPr>
            <w:r>
              <w:rPr>
                <w:rFonts w:ascii="仿宋_GB2312" w:hAnsi="仿宋_GB2312" w:cs="仿宋_GB2312" w:eastAsia="仿宋_GB2312"/>
              </w:rPr>
              <w:t>开标一览表 服务内容及服务邀请应答表 投标函 中小企业声明函 残疾人福利性单位声明函 商务应答表 服务方案 标的清单 投标文件封面 资格证明文件.docx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采购包3：</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采购包4：</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采购包5：</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采购包6：</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采购包7：</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整体理解方案</w:t>
            </w:r>
          </w:p>
        </w:tc>
        <w:tc>
          <w:tcPr>
            <w:tcW w:type="dxa" w:w="2492"/>
          </w:tcPr>
          <w:p>
            <w:pPr>
              <w:pStyle w:val="null3"/>
            </w:pPr>
            <w:r>
              <w:rPr>
                <w:rFonts w:ascii="仿宋_GB2312" w:hAnsi="仿宋_GB2312" w:cs="仿宋_GB2312" w:eastAsia="仿宋_GB2312"/>
              </w:rPr>
              <w:t>供应商提供针对本项目的整体理解方案。（1）对本项目现状和需求理解准确，完整详细，可行性、实用性、针对性强，满足采购项目要求，得5分；（2）对本项目现状和需求理解基本准确，完整详细，具有可行性、实用性和针对性，符合采购项目要求，得3分；（3）对本项目现状和需求理解有待提升，基本符合采购项目要求，可行性、实用性、针对性有待改善，得1分；（4）方案不可行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关键技术应用方案</w:t>
            </w:r>
          </w:p>
        </w:tc>
        <w:tc>
          <w:tcPr>
            <w:tcW w:type="dxa" w:w="2492"/>
          </w:tcPr>
          <w:p>
            <w:pPr>
              <w:pStyle w:val="null3"/>
            </w:pPr>
            <w:r>
              <w:rPr>
                <w:rFonts w:ascii="仿宋_GB2312" w:hAnsi="仿宋_GB2312" w:cs="仿宋_GB2312" w:eastAsia="仿宋_GB2312"/>
              </w:rPr>
              <w:t>供应商提供针对本项目的关键技术方案，内容包括以下三个部分：（1）与现有系统的技术兼容性；（2）技术架构的规范性、扩展性；（3）技术选型与信创环境的匹配度。方案内容全面、条理清晰、技术先进、功能配置合理，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信创适配方案</w:t>
            </w:r>
          </w:p>
        </w:tc>
        <w:tc>
          <w:tcPr>
            <w:tcW w:type="dxa" w:w="2492"/>
          </w:tcPr>
          <w:p>
            <w:pPr>
              <w:pStyle w:val="null3"/>
            </w:pPr>
            <w:r>
              <w:rPr>
                <w:rFonts w:ascii="仿宋_GB2312" w:hAnsi="仿宋_GB2312" w:cs="仿宋_GB2312" w:eastAsia="仿宋_GB2312"/>
              </w:rPr>
              <w:t>供应商提供的信创适配方案，重点包括以下六个部分：操作系统、数据库、中间件、浏览器、外设、接口。方案中各项适配策略及技术实现路径全面详细、条理清晰、技术先进、功能配置合理，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密码应用安全性改造方案</w:t>
            </w:r>
          </w:p>
        </w:tc>
        <w:tc>
          <w:tcPr>
            <w:tcW w:type="dxa" w:w="2492"/>
          </w:tcPr>
          <w:p>
            <w:pPr>
              <w:pStyle w:val="null3"/>
            </w:pPr>
            <w:r>
              <w:rPr>
                <w:rFonts w:ascii="仿宋_GB2312" w:hAnsi="仿宋_GB2312" w:cs="仿宋_GB2312" w:eastAsia="仿宋_GB2312"/>
              </w:rPr>
              <w:t>供应商依据GB/T39786-2021标准等，提出系统密码应用改造方案。内容包括以下三个部分：（1）方案涵盖身份鉴别、数据加密、密钥管理等技术；（2）方案与信创环境结合紧密；（3）方案设计符合密码测评三级标准，满足密码测评三级通过条件。方案内容完整详实、措施有效，能有效保障本项目实施，每有一项缺项扣2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整合迁移与对接方案</w:t>
            </w:r>
          </w:p>
        </w:tc>
        <w:tc>
          <w:tcPr>
            <w:tcW w:type="dxa" w:w="2492"/>
          </w:tcPr>
          <w:p>
            <w:pPr>
              <w:pStyle w:val="null3"/>
            </w:pPr>
            <w:r>
              <w:rPr>
                <w:rFonts w:ascii="仿宋_GB2312" w:hAnsi="仿宋_GB2312" w:cs="仿宋_GB2312" w:eastAsia="仿宋_GB2312"/>
              </w:rPr>
              <w:t>供应商提供针对整合迁移与对接的方案。重点内容包括以下三个部分：（1）应用迁移与数据迁移策略；（2）以“陕西省项目管理服务数字化平台”为主体的整合策略及路径；（3）与“三中枢两前端”对接的技术策略（接口开发、测试、人力配置、交付成果清单）。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实施与风险管理方案</w:t>
            </w:r>
          </w:p>
        </w:tc>
        <w:tc>
          <w:tcPr>
            <w:tcW w:type="dxa" w:w="2492"/>
          </w:tcPr>
          <w:p>
            <w:pPr>
              <w:pStyle w:val="null3"/>
            </w:pPr>
            <w:r>
              <w:rPr>
                <w:rFonts w:ascii="仿宋_GB2312" w:hAnsi="仿宋_GB2312" w:cs="仿宋_GB2312" w:eastAsia="仿宋_GB2312"/>
              </w:rPr>
              <w:t>供应商提供详细的项目实施与风险管理方案。包括但不限于以下四个部分：（1）项目组织架构与职责分工；（2）实施计划与进度安排；（3）质量控制与保障体系；（4）风险识别与应对措施。方案内容完整详实、措施有效，能有效保障本项目实施，每有一项缺项扣2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测试与培训方案</w:t>
            </w:r>
          </w:p>
        </w:tc>
        <w:tc>
          <w:tcPr>
            <w:tcW w:type="dxa" w:w="2492"/>
          </w:tcPr>
          <w:p>
            <w:pPr>
              <w:pStyle w:val="null3"/>
            </w:pPr>
            <w:r>
              <w:rPr>
                <w:rFonts w:ascii="仿宋_GB2312" w:hAnsi="仿宋_GB2312" w:cs="仿宋_GB2312" w:eastAsia="仿宋_GB2312"/>
              </w:rPr>
              <w:t>供应商提供完整的测试与培训方案，内容包括以下三个部分：（1）测试计划、测试用例、验收标准；（2）培训内容、对象、方式、频次；（3）培训资料、效果评估机制。能有效保障本项目实施，每有一项缺项扣2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根据本项目采购需求制定售后服务方案。（1）设计高度契合需求，内容详实覆盖全模块，措施完善有应急及增值服务，可操作性强，得9分；（2）设计符合需求，内容详实含核心模块，可操作性较强，个别环节需优化，得7分；（3）设计基本合理，匹配度一般，内容含关键模块但笼统，常规措施有缺失，可操作性一般，得5分；（4）设计合理性不足，匹配度低，内容简略仅提少数模块，措施缺失多，可操作性差，需大量补充调整，得2分；（4）未提供方案，或内容与需求无关，无售后核心要素，无法指导工作，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保密承诺及措施</w:t>
            </w:r>
          </w:p>
        </w:tc>
        <w:tc>
          <w:tcPr>
            <w:tcW w:type="dxa" w:w="2492"/>
          </w:tcPr>
          <w:p>
            <w:pPr>
              <w:pStyle w:val="null3"/>
            </w:pPr>
            <w:r>
              <w:rPr>
                <w:rFonts w:ascii="仿宋_GB2312" w:hAnsi="仿宋_GB2312" w:cs="仿宋_GB2312" w:eastAsia="仿宋_GB2312"/>
              </w:rPr>
              <w:t>供应商针对本项目提供保密承诺及保密措施。（1）承诺及措施完整、合理，针对性强计5分；（2）承诺及措施基本完整、合理，针对性较强计3分；（3）承诺简单、模糊，针对性差的计1分；未提供不得分。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履约团队</w:t>
            </w:r>
          </w:p>
        </w:tc>
        <w:tc>
          <w:tcPr>
            <w:tcW w:type="dxa" w:w="2492"/>
          </w:tcPr>
          <w:p>
            <w:pPr>
              <w:pStyle w:val="null3"/>
            </w:pPr>
            <w:r>
              <w:rPr>
                <w:rFonts w:ascii="仿宋_GB2312" w:hAnsi="仿宋_GB2312" w:cs="仿宋_GB2312" w:eastAsia="仿宋_GB2312"/>
              </w:rPr>
              <w:t>1、拟派项目负责人具有信息系统项目管理师证书，得2分； 2、拟派项目技术负责人具有系统分析师、系统架构设计师或系统规划与管理师资质证书，每提供1个证书，得1分，满分2分； 3、拟派团队其他成员具备：信息系统项目管理师、软件设计师、数据库系统工程师、软件测试工程师、信息安全工程师资质证书，每提供1个证书，得1分，满分5分。（注：团队其他成员同一人员具有多个证书的，不重复计分；提供配备人员开标前近三个月的社保缴纳证明，以上证件提供复印件加盖公章。）以上证书及社保证明资料未提供不计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供应商2023年5月至今实施的同类业绩证明资料（须提供同类合同的复印件并加盖公章，时间以合同（协议书）或验收文件为准），每份业绩计2分，最高6分。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整体理解方案</w:t>
            </w:r>
          </w:p>
        </w:tc>
        <w:tc>
          <w:tcPr>
            <w:tcW w:type="dxa" w:w="2492"/>
          </w:tcPr>
          <w:p>
            <w:pPr>
              <w:pStyle w:val="null3"/>
            </w:pPr>
            <w:r>
              <w:rPr>
                <w:rFonts w:ascii="仿宋_GB2312" w:hAnsi="仿宋_GB2312" w:cs="仿宋_GB2312" w:eastAsia="仿宋_GB2312"/>
              </w:rPr>
              <w:t>供应商提供针对本项目的整体理解方案。（1）对本项目现状和需求理解准确，完整详细，可行性、实用性、针对性强，满足采购项目要求，得5分；（2）对本项目现状和需求理解基本准确，完整详细，具有可行性、实用性和针对性，符合采购项目要求，得3分；（3）对本项目现状和需求理解有待提升，基本符合采购项目要求，可行性、实用性、针对性有待改善，得1分；（4）方案不可行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关键技术应用方案</w:t>
            </w:r>
          </w:p>
        </w:tc>
        <w:tc>
          <w:tcPr>
            <w:tcW w:type="dxa" w:w="2492"/>
          </w:tcPr>
          <w:p>
            <w:pPr>
              <w:pStyle w:val="null3"/>
            </w:pPr>
            <w:r>
              <w:rPr>
                <w:rFonts w:ascii="仿宋_GB2312" w:hAnsi="仿宋_GB2312" w:cs="仿宋_GB2312" w:eastAsia="仿宋_GB2312"/>
              </w:rPr>
              <w:t>供应商提供本项目拟采用的关键技术方案。重点内容包括以下三个部分：（1）与现有系统的技术兼容性；（2）技术架构的规范性、扩展性；（3）技术选型与信创目标环境的匹配度。方案内容全面、条理清晰、技术先进、功能配置合理，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信创适配方案</w:t>
            </w:r>
          </w:p>
        </w:tc>
        <w:tc>
          <w:tcPr>
            <w:tcW w:type="dxa" w:w="2492"/>
          </w:tcPr>
          <w:p>
            <w:pPr>
              <w:pStyle w:val="null3"/>
            </w:pPr>
            <w:r>
              <w:rPr>
                <w:rFonts w:ascii="仿宋_GB2312" w:hAnsi="仿宋_GB2312" w:cs="仿宋_GB2312" w:eastAsia="仿宋_GB2312"/>
              </w:rPr>
              <w:t>供应商提供的信创适配方案，重点内容包括以下六个部分：操作系统、数据库、中间件、浏览器、外设、接口。方案中各项适配策略及技术实现路径全面详细、条理清晰、技术先进、功能配置合理，能有效保障本项目实施，以上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密码应用安全性改造方案</w:t>
            </w:r>
          </w:p>
        </w:tc>
        <w:tc>
          <w:tcPr>
            <w:tcW w:type="dxa" w:w="2492"/>
          </w:tcPr>
          <w:p>
            <w:pPr>
              <w:pStyle w:val="null3"/>
            </w:pPr>
            <w:r>
              <w:rPr>
                <w:rFonts w:ascii="仿宋_GB2312" w:hAnsi="仿宋_GB2312" w:cs="仿宋_GB2312" w:eastAsia="仿宋_GB2312"/>
              </w:rPr>
              <w:t>供应商依据国家标准GB/T39786-2021等，提出系统密码应用改造方案，内容包括以下三个部分：（1）方案涵盖身份鉴别、数据加密、密钥管理等技术；（2）方案与信创环境结合紧密；（3）方案设计符合密码测评三级标准，满足密码测评三级通过条件。方案内容完整详实、措施有效，能有效保障本项目实施，以上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网络安全等级保护改造方案</w:t>
            </w:r>
          </w:p>
        </w:tc>
        <w:tc>
          <w:tcPr>
            <w:tcW w:type="dxa" w:w="2492"/>
          </w:tcPr>
          <w:p>
            <w:pPr>
              <w:pStyle w:val="null3"/>
            </w:pPr>
            <w:r>
              <w:rPr>
                <w:rFonts w:ascii="仿宋_GB2312" w:hAnsi="仿宋_GB2312" w:cs="仿宋_GB2312" w:eastAsia="仿宋_GB2312"/>
              </w:rPr>
              <w:t>供应商依据《信息安全技术网络安全等级保护测评要求》（GB∕T28448-2019）安全要求等，提出网络安全等级保护改造方案，内容包括以下两个部分：（1）方案设计满足系统网络安全等级保护从第二级升级到第三级通过条件；（2）方案与信创环境结合紧密。方案内容完整详实、措施有效，能有效保障本项目实施，以上每有一项缺项扣2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迁移与对接方案</w:t>
            </w:r>
          </w:p>
        </w:tc>
        <w:tc>
          <w:tcPr>
            <w:tcW w:type="dxa" w:w="2492"/>
          </w:tcPr>
          <w:p>
            <w:pPr>
              <w:pStyle w:val="null3"/>
            </w:pPr>
            <w:r>
              <w:rPr>
                <w:rFonts w:ascii="仿宋_GB2312" w:hAnsi="仿宋_GB2312" w:cs="仿宋_GB2312" w:eastAsia="仿宋_GB2312"/>
              </w:rPr>
              <w:t>供应商提出迁移对接方案，内容包括以下两个部分：（1）应用迁移和数据迁移策略；（2）与三中枢两前端”对接策略（接口开发、测试、人力配置、交付成果清单）。以上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实施与风险管理方案</w:t>
            </w:r>
          </w:p>
        </w:tc>
        <w:tc>
          <w:tcPr>
            <w:tcW w:type="dxa" w:w="2492"/>
          </w:tcPr>
          <w:p>
            <w:pPr>
              <w:pStyle w:val="null3"/>
            </w:pPr>
            <w:r>
              <w:rPr>
                <w:rFonts w:ascii="仿宋_GB2312" w:hAnsi="仿宋_GB2312" w:cs="仿宋_GB2312" w:eastAsia="仿宋_GB2312"/>
              </w:rPr>
              <w:t>供应商提供详细的项目实施与风险管理方案，包括但不限于以下四个部分：（1）项目组织架构与职责分工；（2）实施计划与进度安排；（3）质量控制与保障体系（测试策略、验收标准）；（4）风险识别与应对措施（技术风险、进度风险、安全风险）。方案内容完整详实、措施有效，能有效保障本项目实施，以上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测试与培训方案</w:t>
            </w:r>
          </w:p>
        </w:tc>
        <w:tc>
          <w:tcPr>
            <w:tcW w:type="dxa" w:w="2492"/>
          </w:tcPr>
          <w:p>
            <w:pPr>
              <w:pStyle w:val="null3"/>
            </w:pPr>
            <w:r>
              <w:rPr>
                <w:rFonts w:ascii="仿宋_GB2312" w:hAnsi="仿宋_GB2312" w:cs="仿宋_GB2312" w:eastAsia="仿宋_GB2312"/>
              </w:rPr>
              <w:t>供应商提供完整的测试与培训方案，内容包括以下三个部分：（1）测试计划、测试用例、验收标准；（2）培训内容、对象、方式、频次；（3）培训资料、效果评估机制。方案内容完整详实、措施有效，能有效保障本项目实施，以上每有一项缺项扣2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根据本项目采购需求制定售后服务方案。（1）设计高度契合需求，内容详实覆盖全模块，措施完善有应急及增值服务，可操作性强，得5分；（2）设计符合需求，内容详实含核心模块，可操作性较强，个别环节需优化，得4分；（3）设计基本合理，匹配度一般，内容含关键模块但笼统，常规措施有缺失，可操作性一般，得3分；（4）设计合理性不足，匹配度低，内容简略仅提少数模块，措施缺失多，可操作性差，需大量补充调整，得1分；（4）未提供方案，或内容与需求无关，无售后核心要素，无法指导工作，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提供测试过程的保密承诺及保密措施。（1）承诺及措施完整、合理，针对性强计5分；（2）承诺及措施基本完整、合理，针对性较强计3分；（3）承诺简单、模糊，针对性差的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履约团队</w:t>
            </w:r>
          </w:p>
        </w:tc>
        <w:tc>
          <w:tcPr>
            <w:tcW w:type="dxa" w:w="2492"/>
          </w:tcPr>
          <w:p>
            <w:pPr>
              <w:pStyle w:val="null3"/>
            </w:pPr>
            <w:r>
              <w:rPr>
                <w:rFonts w:ascii="仿宋_GB2312" w:hAnsi="仿宋_GB2312" w:cs="仿宋_GB2312" w:eastAsia="仿宋_GB2312"/>
              </w:rPr>
              <w:t>1、拟派项目负责人具有信息系统项目管理师证书，得2分； 2、拟派团队其他成员具备：信息系统项目管理师、软件设计师、数据库系统工程师、软件测试工程师、信息安全工程师资质证书，每提供1个证书，得1分，满分3分。（注：团队其他成员同一人员具有多个证书的，不重复计分；提供配备人员开标前近三个月的社保缴纳证明，以上证件提供复印件加盖公章。）以上证书及社保证明资料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供应商2023年5月至今实施的同类业绩证明资料（须提供同类合同的复印件并加盖公章），每份业绩计2分，最高6分。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项目需求理解</w:t>
            </w:r>
          </w:p>
        </w:tc>
        <w:tc>
          <w:tcPr>
            <w:tcW w:type="dxa" w:w="2492"/>
          </w:tcPr>
          <w:p>
            <w:pPr>
              <w:pStyle w:val="null3"/>
            </w:pPr>
            <w:r>
              <w:rPr>
                <w:rFonts w:ascii="仿宋_GB2312" w:hAnsi="仿宋_GB2312" w:cs="仿宋_GB2312" w:eastAsia="仿宋_GB2312"/>
              </w:rPr>
              <w:t>供应商对项目背景、现状、建设目标、监理范围及关键要求的理解深度，内容包括以下三个部分：（1）准确阐述项目背景与现状，清晰说明项目整体建设目标；（2）完整覆盖监理服务范围（需求调研设计、实施、验收全过程管理）；（3）识别出本项目监理的关键要点（如信创适配、数据迁移、等保密改等）。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监理实施方案</w:t>
            </w:r>
          </w:p>
        </w:tc>
        <w:tc>
          <w:tcPr>
            <w:tcW w:type="dxa" w:w="2492"/>
          </w:tcPr>
          <w:p>
            <w:pPr>
              <w:pStyle w:val="null3"/>
            </w:pPr>
            <w:r>
              <w:rPr>
                <w:rFonts w:ascii="仿宋_GB2312" w:hAnsi="仿宋_GB2312" w:cs="仿宋_GB2312" w:eastAsia="仿宋_GB2312"/>
              </w:rPr>
              <w:t>供应商针对项目各阶段提供具体的监理实施方案，内容包括以下三个部分：（1）设计阶段监理内容（需求规格说明书、概要设计评审，进度计划审核等）；（2）实施阶段监理内容（实施方案审核、技术验证、进度监督、变更处理等）；（3）验收阶段监理内容（验收程序制定、测试初验、试运行跟踪、正式验收协助等）。方案内容完整详实、措施有效，能有效保障本项目实施，每有一项缺项扣4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信息、组织协调管理制度</w:t>
            </w:r>
          </w:p>
        </w:tc>
        <w:tc>
          <w:tcPr>
            <w:tcW w:type="dxa" w:w="2492"/>
          </w:tcPr>
          <w:p>
            <w:pPr>
              <w:pStyle w:val="null3"/>
            </w:pPr>
            <w:r>
              <w:rPr>
                <w:rFonts w:ascii="仿宋_GB2312" w:hAnsi="仿宋_GB2312" w:cs="仿宋_GB2312" w:eastAsia="仿宋_GB2312"/>
              </w:rPr>
              <w:t>供应商提供信息管理和组织协调管理制度，内容包括以下两个部分：（1）信息管理（监理过程用表、文档模板、文档提交计划、符合性检查一览表、定期报告、会议组织等）；（2）组织协调管理（协调供应商与采购人的关系、处理纠纷、定期联合会议等）。方案内容完整详实、措施有效，能有效保障本项目实施，以上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综合管理措施</w:t>
            </w:r>
          </w:p>
        </w:tc>
        <w:tc>
          <w:tcPr>
            <w:tcW w:type="dxa" w:w="2492"/>
          </w:tcPr>
          <w:p>
            <w:pPr>
              <w:pStyle w:val="null3"/>
            </w:pPr>
            <w:r>
              <w:rPr>
                <w:rFonts w:ascii="仿宋_GB2312" w:hAnsi="仿宋_GB2312" w:cs="仿宋_GB2312" w:eastAsia="仿宋_GB2312"/>
              </w:rPr>
              <w:t>供应商提供综合管理措施，内容包括以下五个部分：（1）合同管理（跟踪合同执行、处理索赔与纠纷）；（2）文档管理措施（档案整理、移交）；（3）安全管理（信息安全监督、保密措施）；（4）应急管理（服务响应要求：24小时响应，紧急2小时响应）；（5）效能管理（进度控制、效率优化）。方案内容完整详实、措施有效，能有效保障本项目实施，以上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质量控制措施</w:t>
            </w:r>
          </w:p>
        </w:tc>
        <w:tc>
          <w:tcPr>
            <w:tcW w:type="dxa" w:w="2492"/>
          </w:tcPr>
          <w:p>
            <w:pPr>
              <w:pStyle w:val="null3"/>
            </w:pPr>
            <w:r>
              <w:rPr>
                <w:rFonts w:ascii="仿宋_GB2312" w:hAnsi="仿宋_GB2312" w:cs="仿宋_GB2312" w:eastAsia="仿宋_GB2312"/>
              </w:rPr>
              <w:t>供应商提供质量控制措施，内容包括以下四个部分：主要包括：（1）质量控制目标及措施（涵盖功能、性能、安全性等）；（2）进度控制目标及措施（与项目总进度计划匹配，偏差分析及纠偏）；（3）投资控制（审核竣工结算、处理索赔）；（4）变更控制（审核变更请求、评估影响）。方案内容完整详实、措施有效，能有效保障本项目实施，以上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合理化咨询建议</w:t>
            </w:r>
          </w:p>
        </w:tc>
        <w:tc>
          <w:tcPr>
            <w:tcW w:type="dxa" w:w="2492"/>
          </w:tcPr>
          <w:p>
            <w:pPr>
              <w:pStyle w:val="null3"/>
            </w:pPr>
            <w:r>
              <w:rPr>
                <w:rFonts w:ascii="仿宋_GB2312" w:hAnsi="仿宋_GB2312" w:cs="仿宋_GB2312" w:eastAsia="仿宋_GB2312"/>
              </w:rPr>
              <w:t>供应商结合项目特点提出监理咨询建议，包括但不限于技术、管理、流程优化等方面。（1）建议针对性极强，内容完善、合理，对项目实施有重要指导意义，得5分；（2）建议针对性较强，内容较为完善、合理，对项目实施有一定指导意义，得3分；（3）建议针对性一般，内容基本完善、合理，得1分；（4）未提供建议或建议不合理、不可行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团队人员方案</w:t>
            </w:r>
          </w:p>
        </w:tc>
        <w:tc>
          <w:tcPr>
            <w:tcW w:type="dxa" w:w="2492"/>
          </w:tcPr>
          <w:p>
            <w:pPr>
              <w:pStyle w:val="null3"/>
            </w:pPr>
            <w:r>
              <w:rPr>
                <w:rFonts w:ascii="仿宋_GB2312" w:hAnsi="仿宋_GB2312" w:cs="仿宋_GB2312" w:eastAsia="仿宋_GB2312"/>
              </w:rPr>
              <w:t>提供专业服务团队人员，至少包含以下三个部分：（1）岗位职责（明确总监理工程师、监理工程师等岗位职责）；（2）岗位工作标准、职业准则、行为规范；（3）人员服务计划（人员安排、工作时间、稳定性承诺）。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提供测试过程的保密承诺及保密措施。（1）承诺及措施完整、合理，针对性强计5分；（2）承诺及措施基本完整、合理，针对性较强计3分；（3）承诺简单、模糊，针对性差的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履约团队</w:t>
            </w:r>
          </w:p>
        </w:tc>
        <w:tc>
          <w:tcPr>
            <w:tcW w:type="dxa" w:w="2492"/>
          </w:tcPr>
          <w:p>
            <w:pPr>
              <w:pStyle w:val="null3"/>
            </w:pPr>
            <w:r>
              <w:rPr>
                <w:rFonts w:ascii="仿宋_GB2312" w:hAnsi="仿宋_GB2312" w:cs="仿宋_GB2312" w:eastAsia="仿宋_GB2312"/>
              </w:rPr>
              <w:t>1、拟派总监理工程师具有信息系统监理师证书，得1分；具有信息系统项目管理师证书，得2分。最高3分； 2.拟派团队其他成员具有信息系统监理师资质证书，每提供1个证书，得1分，最高4分。（注：团队其他成员同一人员具有多个证书的，不重复计分；提供配备人员开标前近三个月的社保缴纳证明，以上证件提供复印件加盖公章。）以上证书及社保证明资料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供应商2023年5月至今实施的同类业绩证明资料（须提供同类合同的复印件并加盖公章），每份业绩计2分，最高10分。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总体理解方案</w:t>
            </w:r>
          </w:p>
        </w:tc>
        <w:tc>
          <w:tcPr>
            <w:tcW w:type="dxa" w:w="2492"/>
          </w:tcPr>
          <w:p>
            <w:pPr>
              <w:pStyle w:val="null3"/>
            </w:pPr>
            <w:r>
              <w:rPr>
                <w:rFonts w:ascii="仿宋_GB2312" w:hAnsi="仿宋_GB2312" w:cs="仿宋_GB2312" w:eastAsia="仿宋_GB2312"/>
              </w:rPr>
              <w:t>供应商提供针对本项目的审计服务总体方案，内容包括以下三个部分：（1）审计服务总体思路：对项目背景、审计目标的理解，总体思路清晰、逻辑合理；（2）重难点分析及解决措施：准确识别项目审计的重难点，并提出具体可行的解决措施；（3）服务标准及特色：明确服务标准，体现项目特色或增值服务。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审计实施方案</w:t>
            </w:r>
          </w:p>
        </w:tc>
        <w:tc>
          <w:tcPr>
            <w:tcW w:type="dxa" w:w="2492"/>
          </w:tcPr>
          <w:p>
            <w:pPr>
              <w:pStyle w:val="null3"/>
            </w:pPr>
            <w:r>
              <w:rPr>
                <w:rFonts w:ascii="仿宋_GB2312" w:hAnsi="仿宋_GB2312" w:cs="仿宋_GB2312" w:eastAsia="仿宋_GB2312"/>
              </w:rPr>
              <w:t>供应商提供针对本项目的审计实施方案。内容包括以下四个部分：（1）审计范围及目标：明确审计范围，涵盖所有必要内容，审计目标清晰；（2）审计方法和程序：采用的审计方法科学、程序规范；（3）审计步骤：步骤清晰、合理，符合审计流程；（4）审计工作进度安排：时间安排合理，关键节点明确，符合项目整体工期。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质量方案</w:t>
            </w:r>
          </w:p>
        </w:tc>
        <w:tc>
          <w:tcPr>
            <w:tcW w:type="dxa" w:w="2492"/>
          </w:tcPr>
          <w:p>
            <w:pPr>
              <w:pStyle w:val="null3"/>
            </w:pPr>
            <w:r>
              <w:rPr>
                <w:rFonts w:ascii="仿宋_GB2312" w:hAnsi="仿宋_GB2312" w:cs="仿宋_GB2312" w:eastAsia="仿宋_GB2312"/>
              </w:rPr>
              <w:t>供应商提供针对本项目的质量方案，内容包括以下两个部分：（1）质量控制方案：明确质量控制目标、控制节点、控制方法；（2）质量保证措施：具体可行的保障措施，如人员、工具、复核机制等。方案内容完整详实、措施有效，能有效保障本项目实施，每有一项缺项扣4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风险防控方案</w:t>
            </w:r>
          </w:p>
        </w:tc>
        <w:tc>
          <w:tcPr>
            <w:tcW w:type="dxa" w:w="2492"/>
          </w:tcPr>
          <w:p>
            <w:pPr>
              <w:pStyle w:val="null3"/>
            </w:pPr>
            <w:r>
              <w:rPr>
                <w:rFonts w:ascii="仿宋_GB2312" w:hAnsi="仿宋_GB2312" w:cs="仿宋_GB2312" w:eastAsia="仿宋_GB2312"/>
              </w:rPr>
              <w:t>供应商提供针对本项目的风险防控方案，内容包括以下两个部分：（1）风险防控制度：建立完善的风险识别、评估、应对制度；（2）风险防范措施：针对具体风险（如审计质量、进度延误、数据泄露等）提出预防措施。方案内容完整详实、措施有效，能有效保障本项目实施，每有一项缺项扣4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廉洁及保密措施</w:t>
            </w:r>
          </w:p>
        </w:tc>
        <w:tc>
          <w:tcPr>
            <w:tcW w:type="dxa" w:w="2492"/>
          </w:tcPr>
          <w:p>
            <w:pPr>
              <w:pStyle w:val="null3"/>
            </w:pPr>
            <w:r>
              <w:rPr>
                <w:rFonts w:ascii="仿宋_GB2312" w:hAnsi="仿宋_GB2312" w:cs="仿宋_GB2312" w:eastAsia="仿宋_GB2312"/>
              </w:rPr>
              <w:t>供应商提供针对本项目的廉洁及保密措施，内容包括以下两个部分：（1）廉洁从业风险控制措施：明确廉洁要求、监督机制、违规处理等；（2）保密制度及方法：制定保密制度，采取技术和管理措施保障项目信息安全。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机构建设方案</w:t>
            </w:r>
          </w:p>
        </w:tc>
        <w:tc>
          <w:tcPr>
            <w:tcW w:type="dxa" w:w="2492"/>
          </w:tcPr>
          <w:p>
            <w:pPr>
              <w:pStyle w:val="null3"/>
            </w:pPr>
            <w:r>
              <w:rPr>
                <w:rFonts w:ascii="仿宋_GB2312" w:hAnsi="仿宋_GB2312" w:cs="仿宋_GB2312" w:eastAsia="仿宋_GB2312"/>
              </w:rPr>
              <w:t>供应商提供针对本项目的机构建设方案，内容包括以下两部分：（1）组织机构运行配备方案：明确项目组织结构、人员配备、职责分工；（2）审计组织分工与配合：内部协作机制及与采购人、其他参建单位的配合方式。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管理制度</w:t>
            </w:r>
          </w:p>
        </w:tc>
        <w:tc>
          <w:tcPr>
            <w:tcW w:type="dxa" w:w="2492"/>
          </w:tcPr>
          <w:p>
            <w:pPr>
              <w:pStyle w:val="null3"/>
            </w:pPr>
            <w:r>
              <w:rPr>
                <w:rFonts w:ascii="仿宋_GB2312" w:hAnsi="仿宋_GB2312" w:cs="仿宋_GB2312" w:eastAsia="仿宋_GB2312"/>
              </w:rPr>
              <w:t>供应商提供针对本项目的管理制度，内容包括以下三个部分：（1）岗位制度：岗位职责、服务质量标准、作业流程清晰完整；（2）内控制度：管理组织机构、内部管理制度、监督机制健全；（3）人员管理制度：员工日常管理、请销假、奖惩措施具体可行。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反馈机制</w:t>
            </w:r>
          </w:p>
        </w:tc>
        <w:tc>
          <w:tcPr>
            <w:tcW w:type="dxa" w:w="2492"/>
          </w:tcPr>
          <w:p>
            <w:pPr>
              <w:pStyle w:val="null3"/>
            </w:pPr>
            <w:r>
              <w:rPr>
                <w:rFonts w:ascii="仿宋_GB2312" w:hAnsi="仿宋_GB2312" w:cs="仿宋_GB2312" w:eastAsia="仿宋_GB2312"/>
              </w:rPr>
              <w:t>供应商提供针对本项目的反馈机制，内容包括以下两个部分：（1）突发事件处理：对突发事件的响应流程、处理措施及向采购人报告机制；（2）常见问题处理：梳理常见问题，提出解决方案并及时向采购人反馈。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提供测试过程的保密承诺及保密措施。（1）承诺及措施完整、合理，针对性强计5分；（2）承诺及措施基本完整、合理，针对性较强计3分；（3）承诺简单、模糊，针对性差的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履约团队</w:t>
            </w:r>
          </w:p>
        </w:tc>
        <w:tc>
          <w:tcPr>
            <w:tcW w:type="dxa" w:w="2492"/>
          </w:tcPr>
          <w:p>
            <w:pPr>
              <w:pStyle w:val="null3"/>
            </w:pPr>
            <w:r>
              <w:rPr>
                <w:rFonts w:ascii="仿宋_GB2312" w:hAnsi="仿宋_GB2312" w:cs="仿宋_GB2312" w:eastAsia="仿宋_GB2312"/>
              </w:rPr>
              <w:t>1. 拟派项目负责人具有注册会计师证书，得3分； 2.拟派结算审核负责人具有软件工程造价师证书，得3分； 3.拟派竣工财务决算审计负责人具有注册会计师证书，得3分； 4.拟派项目组其他人员具有注册会计师证或中级及以上会计师证书，每提供1个证书得1分，满分2分。（注：团队其他成员同一人员具有多个证书的，不重复计分；提供配备人员开标前近三个月的社保缴纳证明，以上证件提供复印件加盖公章。）以上证书及社保证明资料未提供不计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供应商2023年5月至今实施的同类业绩证明资料（须提供同类合同的复印件并加盖公章），每份业绩计2分，最高10分。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采购包5：</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测试方案</w:t>
            </w:r>
          </w:p>
        </w:tc>
        <w:tc>
          <w:tcPr>
            <w:tcW w:type="dxa" w:w="2492"/>
          </w:tcPr>
          <w:p>
            <w:pPr>
              <w:pStyle w:val="null3"/>
            </w:pPr>
            <w:r>
              <w:rPr>
                <w:rFonts w:ascii="仿宋_GB2312" w:hAnsi="仿宋_GB2312" w:cs="仿宋_GB2312" w:eastAsia="仿宋_GB2312"/>
              </w:rPr>
              <w:t>供应商提供针对本项目的测试方案，内容包括以下五个部分：（1）测试计划：阶段划分清晰，时间安排合理，关键节点明确；（2）测试目标：与项目需求契合，覆盖功能、性能效率、安全性、源代码风险四类测试；（3）测试方法：针对不同测试类型（功能、性能效率、安全性、源代码风险）采用合适的方法和技术；（4）测试组织：团队分工明确，职责清晰，沟通机制健全；（5）测试进度：进度安排符合总体进度要求，并有详细的阶段进度表。方案内容完整详实、措施有效，能有效保障本项目实施，每有一项缺项扣4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质量管控措施</w:t>
            </w:r>
          </w:p>
        </w:tc>
        <w:tc>
          <w:tcPr>
            <w:tcW w:type="dxa" w:w="2492"/>
          </w:tcPr>
          <w:p>
            <w:pPr>
              <w:pStyle w:val="null3"/>
            </w:pPr>
            <w:r>
              <w:rPr>
                <w:rFonts w:ascii="仿宋_GB2312" w:hAnsi="仿宋_GB2312" w:cs="仿宋_GB2312" w:eastAsia="仿宋_GB2312"/>
              </w:rPr>
              <w:t>供应商提供质量管控措施，确保测试过程规范、结果可靠，内容包括以下四个部分：（1）测试过程质量控制（测试用例评审、缺陷跟踪、回归测试等）；（2）测试成果质量控制（测试报告规范性、数据准确性、结论客观性）；（3）测试人员操作规范及监督机制；（4）质量目标及达标保障措施。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风险防范措施</w:t>
            </w:r>
          </w:p>
        </w:tc>
        <w:tc>
          <w:tcPr>
            <w:tcW w:type="dxa" w:w="2492"/>
          </w:tcPr>
          <w:p>
            <w:pPr>
              <w:pStyle w:val="null3"/>
            </w:pPr>
            <w:r>
              <w:rPr>
                <w:rFonts w:ascii="仿宋_GB2312" w:hAnsi="仿宋_GB2312" w:cs="仿宋_GB2312" w:eastAsia="仿宋_GB2312"/>
              </w:rPr>
              <w:t>供应商针对本项目测试服务过程中可能出现的风险（如数据泄漏、测试环境故障、进度延误、测试结果偏差等）提出风险防范措施，内容包括以下三个部分：（1）风险识别清单（覆盖技术风险、管理风险、安全风险等）；（2）风险应对措施（预防、缓解、应急方案）；（3）赔偿承诺（对因测试方原因造成损失的赔偿机制）。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进度安排及保证措施</w:t>
            </w:r>
          </w:p>
        </w:tc>
        <w:tc>
          <w:tcPr>
            <w:tcW w:type="dxa" w:w="2492"/>
          </w:tcPr>
          <w:p>
            <w:pPr>
              <w:pStyle w:val="null3"/>
            </w:pPr>
            <w:r>
              <w:rPr>
                <w:rFonts w:ascii="仿宋_GB2312" w:hAnsi="仿宋_GB2312" w:cs="仿宋_GB2312" w:eastAsia="仿宋_GB2312"/>
              </w:rPr>
              <w:t>供应商提供详细的进度安排及保证措施，内容包括以下三个部分：（1）项目实施周期与进度计划表；（2）关键路径与里程碑设置；（3）进度保障措施（人员保障、工具保障、应急机制等）。方案内容完整详实、措施有效，能有效保障本项目实施，每有一项缺项扣3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制定针对本项目测试服务的应急预案，内容包括以下四个部分：（1）应急处置方法（针对测试过程中可能出现的突发情况，如系统崩溃、网络中断、数据丢失等）；（2）应急处理服务流程（触发、响应、处置、恢复流程）；（3）应急处理各阶段措施（事前预防、事中控制、事后改进）；（4）专为本项目设置的应急小组组织架构及职责。方案内容完整详实、措施有效，能有效保障本项目实施，每有一项缺项扣2分，每有一处内容存在缺陷，扣1分，扣完为止。不符合或不提供的不得分。备注：缺陷是指内容不合理、虽有内容但不完善、内容表述前后不一致、与项目需求不匹配及其他不利于项目实施的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测试工具</w:t>
            </w:r>
          </w:p>
        </w:tc>
        <w:tc>
          <w:tcPr>
            <w:tcW w:type="dxa" w:w="2492"/>
          </w:tcPr>
          <w:p>
            <w:pPr>
              <w:pStyle w:val="null3"/>
            </w:pPr>
            <w:r>
              <w:rPr>
                <w:rFonts w:ascii="仿宋_GB2312" w:hAnsi="仿宋_GB2312" w:cs="仿宋_GB2312" w:eastAsia="仿宋_GB2312"/>
              </w:rPr>
              <w:t>供应商提供针对本项目的机构建设方案，内容包括以下两个部分：（1）具有网络性能测试、分析平台/工具（提供购买发票或采购合同或租赁证明复印件）；（2）具有软件性能测试、分析平台/工具（提供购买发票或采购合同或租赁证明复印件）。每提供一项有效证明得3分，满分6分。不符合或不提供的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提供测试过程的保密承诺及保密措施。（1）承诺及措施完整、合理，针对性强计5分；（2）承诺及措施基本完整、合理，针对性较强计3分；（3）承诺简单、模糊，针对性差的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履约团队</w:t>
            </w:r>
          </w:p>
        </w:tc>
        <w:tc>
          <w:tcPr>
            <w:tcW w:type="dxa" w:w="2492"/>
          </w:tcPr>
          <w:p>
            <w:pPr>
              <w:pStyle w:val="null3"/>
            </w:pPr>
            <w:r>
              <w:rPr>
                <w:rFonts w:ascii="仿宋_GB2312" w:hAnsi="仿宋_GB2312" w:cs="仿宋_GB2312" w:eastAsia="仿宋_GB2312"/>
              </w:rPr>
              <w:t>1.拟派项目负责人具有软件测评项目管理经验（提供项目合同，或验收报告等证明材料，提供复印件加盖公章），得2分；具有软件评测师证书，得2分，最高4分； 2. 拟派技术团队其他人员具有软件评测师证书，每提供1个证书得1分，最高3分。（注：提供配备人员开标前近三个月的社保缴纳证明，以上证件提供复印件加盖公章。）以上证书及社保证明资料未提供不计分。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企业实力</w:t>
            </w:r>
          </w:p>
        </w:tc>
        <w:tc>
          <w:tcPr>
            <w:tcW w:type="dxa" w:w="2492"/>
          </w:tcPr>
          <w:p>
            <w:pPr>
              <w:pStyle w:val="null3"/>
            </w:pPr>
            <w:r>
              <w:rPr>
                <w:rFonts w:ascii="仿宋_GB2312" w:hAnsi="仿宋_GB2312" w:cs="仿宋_GB2312" w:eastAsia="仿宋_GB2312"/>
              </w:rPr>
              <w:t>1.提供具有中国合格评定国家认可委员会（CNAS)颁发的检验机构认可证书，得4分，未提供不得分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供应商2023年5月至今实施的同类业绩证明资料（须提供同类合同的复印件并加盖公章），每份业绩计2分，最高10分。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采购包6：</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测评方案</w:t>
            </w:r>
          </w:p>
        </w:tc>
        <w:tc>
          <w:tcPr>
            <w:tcW w:type="dxa" w:w="2492"/>
          </w:tcPr>
          <w:p>
            <w:pPr>
              <w:pStyle w:val="null3"/>
            </w:pPr>
            <w:r>
              <w:rPr>
                <w:rFonts w:ascii="仿宋_GB2312" w:hAnsi="仿宋_GB2312" w:cs="仿宋_GB2312" w:eastAsia="仿宋_GB2312"/>
              </w:rPr>
              <w:t>供应商为本项目提供针对性测评方案。包含但不限于：测评计划、测评目标、测评方法、测评组织、测评进度等。（1）方案清晰明确，内容合理，可行性强，得15分；（2）方案较为清晰，内容较为合理，有一定的可行性，得12分；（3）方案基本清晰，内容基本合理，可行性一般，得9分；（4）方案基本清晰,内容基本合理，可行性较差，得6分；（5）方案简单，不够清晰，内容合理性差，可行性不强，得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tc>
      </w:tr>
      <w:tr>
        <w:tc>
          <w:tcPr>
            <w:tcW w:type="dxa" w:w="831"/>
            <w:vMerge/>
          </w:tcPr>
          <w:p/>
        </w:tc>
        <w:tc>
          <w:tcPr>
            <w:tcW w:type="dxa" w:w="1661"/>
          </w:tcPr>
          <w:p>
            <w:pPr>
              <w:pStyle w:val="null3"/>
            </w:pPr>
            <w:r>
              <w:rPr>
                <w:rFonts w:ascii="仿宋_GB2312" w:hAnsi="仿宋_GB2312" w:cs="仿宋_GB2312" w:eastAsia="仿宋_GB2312"/>
              </w:rPr>
              <w:t>组织计划方案</w:t>
            </w:r>
          </w:p>
        </w:tc>
        <w:tc>
          <w:tcPr>
            <w:tcW w:type="dxa" w:w="2492"/>
          </w:tcPr>
          <w:p>
            <w:pPr>
              <w:pStyle w:val="null3"/>
            </w:pPr>
            <w:r>
              <w:rPr>
                <w:rFonts w:ascii="仿宋_GB2312" w:hAnsi="仿宋_GB2312" w:cs="仿宋_GB2312" w:eastAsia="仿宋_GB2312"/>
              </w:rPr>
              <w:t>供应商针对本项目提供项目组织计划方案，包括但不限于明确合理的项目实施周期和进度计划表、相应的进度保障措施等，满足采购需求，按时完成测试工作。（1）内容详尽，进度计划合理可行，得15分；（2）内容较为详细，进度计划较为合理可行,得12分；（3）内容基本详细，进度计划基本可行，得9分；（4）内容不够详细，进度计划可行性一般，得6分；（5）内容简单，进度计划合理性、可行性较差，得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履约保障</w:t>
            </w:r>
          </w:p>
        </w:tc>
        <w:tc>
          <w:tcPr>
            <w:tcW w:type="dxa" w:w="2492"/>
          </w:tcPr>
          <w:p>
            <w:pPr>
              <w:pStyle w:val="null3"/>
            </w:pPr>
            <w:r>
              <w:rPr>
                <w:rFonts w:ascii="仿宋_GB2312" w:hAnsi="仿宋_GB2312" w:cs="仿宋_GB2312" w:eastAsia="仿宋_GB2312"/>
              </w:rPr>
              <w:t>供应商需具备必要的专业测评工具、设备（提供购置发票复印件或租赁合同复印件等证明材料并加盖公章），得5分；没有专业测评工具、设备或没有提供证明材料的此项不得分。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质量保障措施。（1）保障措施合理可行，针对性强,得12分；（2）保障措施较为合理可行，有一定针对性，得9分；（3）保障措施基本合理可行，针对性一般，得6分；（4）保障措施简单，针对性较弱，得3分；（5）保障措施不健全，无针对性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突发情况有具体可行的应急措施和解决方案。（1）提供的应急方案建议全面、合理，可行性高、针对性强得10分；（2）投提供的应急方案建议一般，可操作性一般，得6分；（3）提供的应急方案建议较差，可操作性不强，得2分；（4）本项未提供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服务售后方案</w:t>
            </w:r>
          </w:p>
        </w:tc>
        <w:tc>
          <w:tcPr>
            <w:tcW w:type="dxa" w:w="2492"/>
          </w:tcPr>
          <w:p>
            <w:pPr>
              <w:pStyle w:val="null3"/>
            </w:pPr>
            <w:r>
              <w:rPr>
                <w:rFonts w:ascii="仿宋_GB2312" w:hAnsi="仿宋_GB2312" w:cs="仿宋_GB2312" w:eastAsia="仿宋_GB2312"/>
              </w:rPr>
              <w:t>供应商根据本项目采购需求制定售后服务方案。主要包括：（1）设计高度契合需求，内容详实覆盖全模块，措施完善有应急及增值服务，可操作性强，得10分；（2）设计符合需求，内容详实含核心模块，可操作性较强，个别环节需优化，得8分。（3）设计基本合理，匹配度一般，内容含关键模块但笼统，常规措施有缺失，可操作性一般，得6分。（4）设计合理性不足，匹配度低，内容简略仅提少数模块，措施缺失多，可操作性差，需大量补充调整，得2分；（4）未提供方案，或内容与需求无关，无售后核心要素，无法指导工作，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提供测试过程的保密承诺及保密措施。（1）承诺及措施完整、合理，针对性强计5分；（2）承诺及措施基本完整、合理，针对性较强计3分；（3）承诺简单、模糊，针对性差的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履约团队</w:t>
            </w:r>
          </w:p>
        </w:tc>
        <w:tc>
          <w:tcPr>
            <w:tcW w:type="dxa" w:w="2492"/>
          </w:tcPr>
          <w:p>
            <w:pPr>
              <w:pStyle w:val="null3"/>
            </w:pPr>
            <w:r>
              <w:rPr>
                <w:rFonts w:ascii="仿宋_GB2312" w:hAnsi="仿宋_GB2312" w:cs="仿宋_GB2312" w:eastAsia="仿宋_GB2312"/>
              </w:rPr>
              <w:t>1.拟派项目负责人具有网络安全项目管理经验（提供项目合同，或验收报告等证明材料，提供复印件加盖公章），得2分；具有网络安全等级测评高级测评师证书，得2分，最高4分； 2.拟派技术团队人员具有网络安全等级测评师中级及以上证书，每提供1个证书得1分，最高得4分。（注：提供配备人员开标前近三个月的社保缴纳证明，以上证件提供复印件加盖公章。）以上证书及社保证明资料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供应商2023年5月至今实施的同类业绩证明资料（须提供同类合同的复印件并加盖公章），每份业绩计2分，最高10分。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采购包7：</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测评方案</w:t>
            </w:r>
          </w:p>
        </w:tc>
        <w:tc>
          <w:tcPr>
            <w:tcW w:type="dxa" w:w="2492"/>
          </w:tcPr>
          <w:p>
            <w:pPr>
              <w:pStyle w:val="null3"/>
            </w:pPr>
            <w:r>
              <w:rPr>
                <w:rFonts w:ascii="仿宋_GB2312" w:hAnsi="仿宋_GB2312" w:cs="仿宋_GB2312" w:eastAsia="仿宋_GB2312"/>
              </w:rPr>
              <w:t>供应商为本项目提供针对性测评方案，包含但不限于：测评计划、测评目标、测评方法、测评组织、测评进度等。（1）方案清晰明确，内容合理，可行性强，得15分；（2）方案较为清晰，内容较为合理，有一定的可行性，得12分；（3）方案基本清晰，内容基本合理，可行性一般，得9分；（4）方案基本清晰,内容基本合理，可行性较差，得6分；（5）方案简单，不够清晰，内容合理性差，可行性不强，得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组织计划方案</w:t>
            </w:r>
          </w:p>
        </w:tc>
        <w:tc>
          <w:tcPr>
            <w:tcW w:type="dxa" w:w="2492"/>
          </w:tcPr>
          <w:p>
            <w:pPr>
              <w:pStyle w:val="null3"/>
            </w:pPr>
            <w:r>
              <w:rPr>
                <w:rFonts w:ascii="仿宋_GB2312" w:hAnsi="仿宋_GB2312" w:cs="仿宋_GB2312" w:eastAsia="仿宋_GB2312"/>
              </w:rPr>
              <w:t>针对本项目提供项目组织计划方案，包括但不限于明确合理的项目实施周期和进度计划表、相应的进度保障措施等，满足采购需求，按时完成测试工作。（1）内容详尽，进度计划合理可行，得15分；（2）内容较为详细，进度计划较为合理可行,得12分；（3）内容基本详细，进度计划基本可行，得9分；（4）内容不够详细，进度计划可行性一般，得6分；（5）内容简单，进度计划合理性、可行性较差，得3分；未提供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履约保障</w:t>
            </w:r>
          </w:p>
        </w:tc>
        <w:tc>
          <w:tcPr>
            <w:tcW w:type="dxa" w:w="2492"/>
          </w:tcPr>
          <w:p>
            <w:pPr>
              <w:pStyle w:val="null3"/>
            </w:pPr>
            <w:r>
              <w:rPr>
                <w:rFonts w:ascii="仿宋_GB2312" w:hAnsi="仿宋_GB2312" w:cs="仿宋_GB2312" w:eastAsia="仿宋_GB2312"/>
              </w:rPr>
              <w:t>1、供应商具有SM2/SM3/SM4检测工具，每提供一个对应工具得1分，满分3分； 2、供应商具有其他密码相关专用技术检测工具，每提供一个得1分，满分2分；（注：须提供购置发票复印件或采购合同复印件等证明材料并加盖公章），没有检测工具或没有提供证明材料的此项不得分。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供应商针对本项目提供质量保障措施。（1）保障措施合理可行，针对性强,得12分；（2）保障措施较为合理可行，有一定针对性，得9分；（3）保障措施基本合理可行，针对性一般，得6分；（4）保障措施简单，针对性较弱，得3分；（5）保障措施不健全，无针对性或未提供不得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应急方案</w:t>
            </w:r>
          </w:p>
        </w:tc>
        <w:tc>
          <w:tcPr>
            <w:tcW w:type="dxa" w:w="2492"/>
          </w:tcPr>
          <w:p>
            <w:pPr>
              <w:pStyle w:val="null3"/>
            </w:pPr>
            <w:r>
              <w:rPr>
                <w:rFonts w:ascii="仿宋_GB2312" w:hAnsi="仿宋_GB2312" w:cs="仿宋_GB2312" w:eastAsia="仿宋_GB2312"/>
              </w:rPr>
              <w:t>供应商针对突发情况有具体可行的应急措施和解决方案。（1）提供的应急方案建议全面、合理，可行性高、针对性强，得10分；（2）提供的应急方案建议一般，可操作性一般，得6分；（3）提供的应急方案建议较差，可操作性不强，得2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服务售后方案</w:t>
            </w:r>
          </w:p>
        </w:tc>
        <w:tc>
          <w:tcPr>
            <w:tcW w:type="dxa" w:w="2492"/>
          </w:tcPr>
          <w:p>
            <w:pPr>
              <w:pStyle w:val="null3"/>
            </w:pPr>
            <w:r>
              <w:rPr>
                <w:rFonts w:ascii="仿宋_GB2312" w:hAnsi="仿宋_GB2312" w:cs="仿宋_GB2312" w:eastAsia="仿宋_GB2312"/>
              </w:rPr>
              <w:t>供应商根据本项目采购需求制定售后服务方案。（1）设计高度契合需求，内容详实覆盖全模块，措施完善有应急及增值服务，可操作性强，得10分；（2）设计符合需求，内容详实含核心模块，可操作性较强，个别环节需优化，得8分。（3）设计基本合理，匹配度一般，内容含关键模块但笼统，常规措施有缺失，可操作性一般，得6分。（4）设计合理性不足，匹配度低，内容简略仅提少数模块，措施缺失多，可操作性差，需大量补充调整，得2分。（4）未提供方案，或内容与需求无关，无售后核心要素，无法指导工作，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保密承诺</w:t>
            </w:r>
          </w:p>
        </w:tc>
        <w:tc>
          <w:tcPr>
            <w:tcW w:type="dxa" w:w="2492"/>
          </w:tcPr>
          <w:p>
            <w:pPr>
              <w:pStyle w:val="null3"/>
            </w:pPr>
            <w:r>
              <w:rPr>
                <w:rFonts w:ascii="仿宋_GB2312" w:hAnsi="仿宋_GB2312" w:cs="仿宋_GB2312" w:eastAsia="仿宋_GB2312"/>
              </w:rPr>
              <w:t>供应商针对本项目提供测试过程的保密承诺及保密措施。（1）承诺及措施完整、合理，针对性强计5分；（2）承诺及措施基本完整、合理，针对性较强计3分；（3）承诺简单、模糊，针对性差的计1分；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履约团队</w:t>
            </w:r>
          </w:p>
        </w:tc>
        <w:tc>
          <w:tcPr>
            <w:tcW w:type="dxa" w:w="2492"/>
          </w:tcPr>
          <w:p>
            <w:pPr>
              <w:pStyle w:val="null3"/>
            </w:pPr>
            <w:r>
              <w:rPr>
                <w:rFonts w:ascii="仿宋_GB2312" w:hAnsi="仿宋_GB2312" w:cs="仿宋_GB2312" w:eastAsia="仿宋_GB2312"/>
              </w:rPr>
              <w:t>1.拟派项目负责人具有商用密码应用安全性评估项目管理经验（提供项目合同，或验收报告等证明材料，提供复印件加盖公章），得2分；具有商用密码应用安全性评估从业人员考核合格证书，得2分，最高得4分； 2.拟派技术团队人员具有商用密码应用安全性评估从业人员考核合格证书，每提供1个证书得1分，最高得4分。 （注：提供配备人员开标前近三个月的社保缴纳证明，以上证件提供复印件加盖公章。）以上证书及社保证明资料未提供不计分。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供应商2023年5月至今实施的同类业绩证明资料（须提供同类合同的复印件并加盖公章），每份业绩计2分，最高10分。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满足招标文件要求且投标价格最低的报价为评标基准价，其价格分为满分。其他供应商的价格分统一按照下列公式计算：投标报价得分=（评标基准价/投标报价）×10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本项目授权评标委员会直接确认中标供应商，确认后代理机构在陕西省政府采购网上发布中标公告，同时向中标供应商发出中标通知书。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采购包3：</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采购包4：</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采购包5：</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采购包6：</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采购包7：</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