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版本号：KY2026-1-61720260616001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秦汉馆职工餐厅服务外包项目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KY2026-1-617</w:t>
      </w:r>
      <w:r>
        <w:br/>
      </w:r>
      <w:r>
        <w:br/>
      </w:r>
      <w:r>
        <w:br/>
      </w:r>
    </w:p>
    <w:p>
      <w:pPr>
        <w:pStyle w:val="null3"/>
        <w:jc w:val="center"/>
        <w:outlineLvl w:val="2"/>
      </w:pPr>
      <w:r>
        <w:rPr>
          <w:rFonts w:ascii="仿宋_GB2312" w:hAnsi="仿宋_GB2312" w:cs="仿宋_GB2312" w:eastAsia="仿宋_GB2312"/>
          <w:sz w:val="28"/>
          <w:b/>
        </w:rPr>
        <w:t>陕西历史博物馆</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陕西历史博物馆</w:t>
      </w:r>
      <w:r>
        <w:rPr>
          <w:rFonts w:ascii="仿宋_GB2312" w:hAnsi="仿宋_GB2312" w:cs="仿宋_GB2312" w:eastAsia="仿宋_GB2312"/>
        </w:rPr>
        <w:t>委托，拟对</w:t>
      </w:r>
      <w:r>
        <w:rPr>
          <w:rFonts w:ascii="仿宋_GB2312" w:hAnsi="仿宋_GB2312" w:cs="仿宋_GB2312" w:eastAsia="仿宋_GB2312"/>
        </w:rPr>
        <w:t>秦汉馆职工餐厅服务外包项目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KY2026-1-617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秦汉馆职工餐厅服务外包项目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陕西历史博物馆秦汉馆职工餐厅服务外包项目，1项，具体内容详见采购需求。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采购包1（秦汉馆职工餐厅服务外包项目）：属于专门面向中小企业采购。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审计的财务报告（包括“四表一注”，即资产负债表、利润表、现金流量表、所有者权益变动表及其附注，成立时间至提交投标文件截止时间不足一年的可提供成立后任意时段的资产负债表），或其开标前六个月内基本开户银行出具的资信证明，或信用担保机构出具的投标担保函。（（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以上三种形式的资料提供任何一种即可）</w:t>
      </w:r>
    </w:p>
    <w:p>
      <w:pPr>
        <w:pStyle w:val="null3"/>
      </w:pPr>
      <w:r>
        <w:rPr>
          <w:rFonts w:ascii="仿宋_GB2312" w:hAnsi="仿宋_GB2312" w:cs="仿宋_GB2312" w:eastAsia="仿宋_GB2312"/>
        </w:rPr>
        <w:t>3、税收缴纳证明：提供2025年6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4、社会保障资金缴存证明：提供2025年6月至今已缴存的至少一个月的社会保障资金缴存单据或社保机构开具的社会保险参保缴费情况证明，依法不需要缴存社会保障资金的单位应提供相关证明材料。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7、法定代表人授权书：法定代表人授权书及被授权人身份证明。（法定代表人直接磋商只须提供其身份证明）</w:t>
      </w:r>
    </w:p>
    <w:p>
      <w:pPr>
        <w:pStyle w:val="null3"/>
      </w:pPr>
      <w:r>
        <w:rPr>
          <w:rFonts w:ascii="仿宋_GB2312" w:hAnsi="仿宋_GB2312" w:cs="仿宋_GB2312" w:eastAsia="仿宋_GB2312"/>
        </w:rPr>
        <w:t>8、特殊资质：供应商须具备有效的《食品经营许可证》。</w:t>
      </w:r>
    </w:p>
    <w:p>
      <w:pPr>
        <w:pStyle w:val="null3"/>
      </w:pPr>
      <w:r>
        <w:rPr>
          <w:rFonts w:ascii="仿宋_GB2312" w:hAnsi="仿宋_GB2312" w:cs="仿宋_GB2312" w:eastAsia="仿宋_GB2312"/>
        </w:rPr>
        <w:t>9、声明函：本项目专门面向中小企业采购，供应商应为中小企业或监狱企业或残疾人福利性单位，并提供声明函。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陕西历史博物馆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西安市雁塔区小寨东路91号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029-62739017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刘双莹、牛佩文、刘金柯、卢韶华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采购包1：585,000.00元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银行账号：86113010750181502001323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依据成交金额向采购代理机构交纳成交服务费，交费金额参照国家计委颁布的《招标代理服务收费管理暂行办法》（计价格[2002]1980号）文件的规定标准收取，不足5000元按照5000元计取。本项目代理服务费按服务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陕西历史博物馆</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陕西历史博物馆</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陕西历史博物馆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联系人：刘双莹、牛佩文</w:t>
      </w:r>
    </w:p>
    <w:p>
      <w:pPr>
        <w:pStyle w:val="null3"/>
      </w:pPr>
      <w:r>
        <w:rPr>
          <w:rFonts w:ascii="仿宋_GB2312" w:hAnsi="仿宋_GB2312" w:cs="仿宋_GB2312" w:eastAsia="仿宋_GB2312"/>
        </w:rPr>
        <w:t>联系电话：029-81206622-824</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邮编：716000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 采购人陕西历史博物馆（秦汉馆）职工餐厅，供应商主要给馆里职工提供早中晚三餐，并协助采购人完成全年不定期的活动、会议等相关保障工作。每天就餐人数早餐20人左右，午餐约100人，晚餐约20人，节假日人数略少。 2.采购人负责提供符合安全生产管理规定的经营场所、设施设备、餐具用具、餐桌椅等物品及各类生产用房及水、电、暖、燃气、照明设施设备并可以正常使用，承担供应商在服务场所产生的水电气等全部费用。 3.采购人负责餐厅天然气管道检修维护、气表检测年检、设施设备等物品的维修保养。 4.连续五年以上未出现过食品安全事故。 5.供应商负责餐厅原材料采购及验收工作，严格把控食材质量与数量，采购人负责原材料入库，原材料采购款由采购人按季度结算。 6.供应商负责提供餐厅日常运转所用的物资和用品（包括不限于打包盒等一次性餐具，锅刷等清洁用品，保鲜膜等保鲜用品）。 7.供应商承担每年不少于一次的油烟净化系统全面清洗、养护工作，确保油烟设备正常运行、达标排放、符合安全要求，清洗耗材、人工等费用由供应商自行承担。 8.采购人以总价承包给供应商后，供应商负责承担管理费和相关人员工资。 9.项目服务期：一年。</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585,000.00</w:t>
      </w:r>
    </w:p>
    <w:p>
      <w:pPr>
        <w:pStyle w:val="null3"/>
      </w:pPr>
      <w:r>
        <w:rPr>
          <w:rFonts w:ascii="仿宋_GB2312" w:hAnsi="仿宋_GB2312" w:cs="仿宋_GB2312" w:eastAsia="仿宋_GB2312"/>
        </w:rPr>
        <w:t>采购包最高限价（元）: 585,000.00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585,000.00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8"/>
                <w:b/>
              </w:rPr>
              <w:t>采购需求</w:t>
            </w:r>
          </w:p>
          <w:p>
            <w:pPr>
              <w:pStyle w:val="null3"/>
              <w:ind w:firstLine="482"/>
              <w:jc w:val="both"/>
            </w:pPr>
            <w:r>
              <w:rPr>
                <w:rFonts w:ascii="仿宋_GB2312" w:hAnsi="仿宋_GB2312" w:cs="仿宋_GB2312" w:eastAsia="仿宋_GB2312"/>
                <w:sz w:val="24"/>
                <w:b/>
              </w:rPr>
              <w:t>一、服务内容</w:t>
            </w:r>
          </w:p>
          <w:p>
            <w:pPr>
              <w:pStyle w:val="null3"/>
              <w:ind w:firstLine="480"/>
              <w:jc w:val="left"/>
            </w:pPr>
            <w:r>
              <w:rPr>
                <w:rFonts w:ascii="仿宋_GB2312" w:hAnsi="仿宋_GB2312" w:cs="仿宋_GB2312" w:eastAsia="仿宋_GB2312"/>
                <w:sz w:val="24"/>
              </w:rPr>
              <w:t xml:space="preserve">1. </w:t>
            </w:r>
            <w:r>
              <w:rPr>
                <w:rFonts w:ascii="仿宋_GB2312" w:hAnsi="仿宋_GB2312" w:cs="仿宋_GB2312" w:eastAsia="仿宋_GB2312"/>
                <w:sz w:val="24"/>
              </w:rPr>
              <w:t>采购人</w:t>
            </w:r>
            <w:r>
              <w:rPr>
                <w:rFonts w:ascii="仿宋_GB2312" w:hAnsi="仿宋_GB2312" w:cs="仿宋_GB2312" w:eastAsia="仿宋_GB2312"/>
                <w:sz w:val="24"/>
              </w:rPr>
              <w:t>陕西历史博物馆</w:t>
            </w:r>
            <w:r>
              <w:rPr>
                <w:rFonts w:ascii="仿宋_GB2312" w:hAnsi="仿宋_GB2312" w:cs="仿宋_GB2312" w:eastAsia="仿宋_GB2312"/>
                <w:sz w:val="24"/>
              </w:rPr>
              <w:t>（</w:t>
            </w:r>
            <w:r>
              <w:rPr>
                <w:rFonts w:ascii="仿宋_GB2312" w:hAnsi="仿宋_GB2312" w:cs="仿宋_GB2312" w:eastAsia="仿宋_GB2312"/>
                <w:sz w:val="24"/>
              </w:rPr>
              <w:t>秦汉馆</w:t>
            </w:r>
            <w:r>
              <w:rPr>
                <w:rFonts w:ascii="仿宋_GB2312" w:hAnsi="仿宋_GB2312" w:cs="仿宋_GB2312" w:eastAsia="仿宋_GB2312"/>
                <w:sz w:val="24"/>
              </w:rPr>
              <w:t>）</w:t>
            </w:r>
            <w:r>
              <w:rPr>
                <w:rFonts w:ascii="仿宋_GB2312" w:hAnsi="仿宋_GB2312" w:cs="仿宋_GB2312" w:eastAsia="仿宋_GB2312"/>
                <w:sz w:val="24"/>
              </w:rPr>
              <w:t>职工餐厅</w:t>
            </w:r>
            <w:r>
              <w:rPr>
                <w:rFonts w:ascii="仿宋_GB2312" w:hAnsi="仿宋_GB2312" w:cs="仿宋_GB2312" w:eastAsia="仿宋_GB2312"/>
                <w:sz w:val="24"/>
              </w:rPr>
              <w:t>，供应商</w:t>
            </w:r>
            <w:r>
              <w:rPr>
                <w:rFonts w:ascii="仿宋_GB2312" w:hAnsi="仿宋_GB2312" w:cs="仿宋_GB2312" w:eastAsia="仿宋_GB2312"/>
                <w:sz w:val="24"/>
              </w:rPr>
              <w:t>主要给馆里职工提供</w:t>
            </w:r>
            <w:r>
              <w:rPr>
                <w:rFonts w:ascii="仿宋_GB2312" w:hAnsi="仿宋_GB2312" w:cs="仿宋_GB2312" w:eastAsia="仿宋_GB2312"/>
                <w:sz w:val="24"/>
                <w:color w:val="000000"/>
              </w:rPr>
              <w:t>早</w:t>
            </w:r>
            <w:r>
              <w:rPr>
                <w:rFonts w:ascii="仿宋_GB2312" w:hAnsi="仿宋_GB2312" w:cs="仿宋_GB2312" w:eastAsia="仿宋_GB2312"/>
                <w:sz w:val="24"/>
                <w:color w:val="000000"/>
              </w:rPr>
              <w:t>中晚三餐</w:t>
            </w:r>
            <w:r>
              <w:rPr>
                <w:rFonts w:ascii="仿宋_GB2312" w:hAnsi="仿宋_GB2312" w:cs="仿宋_GB2312" w:eastAsia="仿宋_GB2312"/>
                <w:sz w:val="24"/>
              </w:rPr>
              <w:t>，并</w:t>
            </w:r>
            <w:r>
              <w:rPr>
                <w:rFonts w:ascii="仿宋_GB2312" w:hAnsi="仿宋_GB2312" w:cs="仿宋_GB2312" w:eastAsia="仿宋_GB2312"/>
                <w:sz w:val="24"/>
              </w:rPr>
              <w:t>协助采购人完成全年不定期的活动、会议等相关保障工作</w:t>
            </w:r>
            <w:r>
              <w:rPr>
                <w:rFonts w:ascii="仿宋_GB2312" w:hAnsi="仿宋_GB2312" w:cs="仿宋_GB2312" w:eastAsia="仿宋_GB2312"/>
                <w:sz w:val="24"/>
              </w:rPr>
              <w:t>。每天就餐人数早餐</w:t>
            </w:r>
            <w:r>
              <w:rPr>
                <w:rFonts w:ascii="仿宋_GB2312" w:hAnsi="仿宋_GB2312" w:cs="仿宋_GB2312" w:eastAsia="仿宋_GB2312"/>
                <w:sz w:val="24"/>
              </w:rPr>
              <w:t>20</w:t>
            </w:r>
            <w:r>
              <w:rPr>
                <w:rFonts w:ascii="仿宋_GB2312" w:hAnsi="仿宋_GB2312" w:cs="仿宋_GB2312" w:eastAsia="仿宋_GB2312"/>
                <w:sz w:val="24"/>
              </w:rPr>
              <w:t>人左右，午餐约</w:t>
            </w:r>
            <w:r>
              <w:rPr>
                <w:rFonts w:ascii="仿宋_GB2312" w:hAnsi="仿宋_GB2312" w:cs="仿宋_GB2312" w:eastAsia="仿宋_GB2312"/>
                <w:sz w:val="24"/>
              </w:rPr>
              <w:t>100</w:t>
            </w:r>
            <w:r>
              <w:rPr>
                <w:rFonts w:ascii="仿宋_GB2312" w:hAnsi="仿宋_GB2312" w:cs="仿宋_GB2312" w:eastAsia="仿宋_GB2312"/>
                <w:sz w:val="24"/>
              </w:rPr>
              <w:t>人，</w:t>
            </w:r>
            <w:r>
              <w:rPr>
                <w:rFonts w:ascii="仿宋_GB2312" w:hAnsi="仿宋_GB2312" w:cs="仿宋_GB2312" w:eastAsia="仿宋_GB2312"/>
                <w:sz w:val="24"/>
              </w:rPr>
              <w:t>晚餐约</w:t>
            </w:r>
            <w:r>
              <w:rPr>
                <w:rFonts w:ascii="仿宋_GB2312" w:hAnsi="仿宋_GB2312" w:cs="仿宋_GB2312" w:eastAsia="仿宋_GB2312"/>
                <w:sz w:val="24"/>
              </w:rPr>
              <w:t>20人，</w:t>
            </w:r>
            <w:r>
              <w:rPr>
                <w:rFonts w:ascii="仿宋_GB2312" w:hAnsi="仿宋_GB2312" w:cs="仿宋_GB2312" w:eastAsia="仿宋_GB2312"/>
                <w:sz w:val="24"/>
              </w:rPr>
              <w:t>节假日人数略少。</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负责提供符合安全生产管理规定的经营场所、设施设备、餐具用具、餐桌椅等物品及各类生产用房及水、电、暖、燃气、照明设施设备并可以正常使用，承担</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在</w:t>
            </w:r>
            <w:r>
              <w:rPr>
                <w:rFonts w:ascii="仿宋_GB2312" w:hAnsi="仿宋_GB2312" w:cs="仿宋_GB2312" w:eastAsia="仿宋_GB2312"/>
                <w:sz w:val="24"/>
                <w:color w:val="000000"/>
              </w:rPr>
              <w:t>服务</w:t>
            </w:r>
            <w:r>
              <w:rPr>
                <w:rFonts w:ascii="仿宋_GB2312" w:hAnsi="仿宋_GB2312" w:cs="仿宋_GB2312" w:eastAsia="仿宋_GB2312"/>
                <w:sz w:val="24"/>
                <w:color w:val="000000"/>
              </w:rPr>
              <w:t>场所产生的水电气等全部费用。</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采购人</w:t>
            </w:r>
            <w:r>
              <w:rPr>
                <w:rFonts w:ascii="仿宋_GB2312" w:hAnsi="仿宋_GB2312" w:cs="仿宋_GB2312" w:eastAsia="仿宋_GB2312"/>
                <w:sz w:val="24"/>
              </w:rPr>
              <w:t>负责餐厅天然气管道检修维护、气表检测年检、设施设备等物品的维修保养。</w:t>
            </w:r>
          </w:p>
          <w:p>
            <w:pPr>
              <w:pStyle w:val="null3"/>
              <w:ind w:firstLine="480"/>
              <w:jc w:val="both"/>
            </w:pPr>
            <w:r>
              <w:rPr>
                <w:rFonts w:ascii="仿宋_GB2312" w:hAnsi="仿宋_GB2312" w:cs="仿宋_GB2312" w:eastAsia="仿宋_GB2312"/>
                <w:sz w:val="24"/>
                <w:color w:val="000000"/>
              </w:rPr>
              <w:t>4.连续五年以上未出现过食品安全事故。</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供应商</w:t>
            </w:r>
            <w:r>
              <w:rPr>
                <w:rFonts w:ascii="仿宋_GB2312" w:hAnsi="仿宋_GB2312" w:cs="仿宋_GB2312" w:eastAsia="仿宋_GB2312"/>
                <w:sz w:val="24"/>
              </w:rPr>
              <w:t>负责餐厅原材料采购</w:t>
            </w:r>
            <w:r>
              <w:rPr>
                <w:rFonts w:ascii="仿宋_GB2312" w:hAnsi="仿宋_GB2312" w:cs="仿宋_GB2312" w:eastAsia="仿宋_GB2312"/>
                <w:sz w:val="24"/>
              </w:rPr>
              <w:t>及验收工作，严格把控食材质量与数量，采购人负责原材料</w:t>
            </w:r>
            <w:r>
              <w:rPr>
                <w:rFonts w:ascii="仿宋_GB2312" w:hAnsi="仿宋_GB2312" w:cs="仿宋_GB2312" w:eastAsia="仿宋_GB2312"/>
                <w:sz w:val="24"/>
              </w:rPr>
              <w:t>入库</w:t>
            </w:r>
            <w:r>
              <w:rPr>
                <w:rFonts w:ascii="仿宋_GB2312" w:hAnsi="仿宋_GB2312" w:cs="仿宋_GB2312" w:eastAsia="仿宋_GB2312"/>
                <w:sz w:val="24"/>
              </w:rPr>
              <w:t>，原材料采购款由采购人按季度结算</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供应商</w:t>
            </w:r>
            <w:r>
              <w:rPr>
                <w:rFonts w:ascii="仿宋_GB2312" w:hAnsi="仿宋_GB2312" w:cs="仿宋_GB2312" w:eastAsia="仿宋_GB2312"/>
                <w:sz w:val="24"/>
              </w:rPr>
              <w:t>负责提供餐厅日常运转所用的物资和用品</w:t>
            </w:r>
            <w:r>
              <w:rPr>
                <w:rFonts w:ascii="仿宋_GB2312" w:hAnsi="仿宋_GB2312" w:cs="仿宋_GB2312" w:eastAsia="仿宋_GB2312"/>
                <w:sz w:val="24"/>
              </w:rPr>
              <w:t>（包括不限于打包盒等一次性餐具，锅刷等清洁用品，保鲜膜等保鲜用品）</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7.供应商承担每年不少于一次的油烟净化系统全面清洗、养护工作，确保油烟设备正常运行、达标排放、符合安全要求，清洗耗材、人工等费用由供应商自行承担。</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采购人</w:t>
            </w:r>
            <w:r>
              <w:rPr>
                <w:rFonts w:ascii="仿宋_GB2312" w:hAnsi="仿宋_GB2312" w:cs="仿宋_GB2312" w:eastAsia="仿宋_GB2312"/>
                <w:sz w:val="24"/>
              </w:rPr>
              <w:t>以总价承包给</w:t>
            </w:r>
            <w:r>
              <w:rPr>
                <w:rFonts w:ascii="仿宋_GB2312" w:hAnsi="仿宋_GB2312" w:cs="仿宋_GB2312" w:eastAsia="仿宋_GB2312"/>
                <w:sz w:val="24"/>
              </w:rPr>
              <w:t>供应商</w:t>
            </w:r>
            <w:r>
              <w:rPr>
                <w:rFonts w:ascii="仿宋_GB2312" w:hAnsi="仿宋_GB2312" w:cs="仿宋_GB2312" w:eastAsia="仿宋_GB2312"/>
                <w:sz w:val="24"/>
              </w:rPr>
              <w:t>后，</w:t>
            </w:r>
            <w:r>
              <w:rPr>
                <w:rFonts w:ascii="仿宋_GB2312" w:hAnsi="仿宋_GB2312" w:cs="仿宋_GB2312" w:eastAsia="仿宋_GB2312"/>
                <w:sz w:val="24"/>
              </w:rPr>
              <w:t>供应商</w:t>
            </w:r>
            <w:r>
              <w:rPr>
                <w:rFonts w:ascii="仿宋_GB2312" w:hAnsi="仿宋_GB2312" w:cs="仿宋_GB2312" w:eastAsia="仿宋_GB2312"/>
                <w:sz w:val="24"/>
              </w:rPr>
              <w:t>负责承担管理费和相关人员工资。</w:t>
            </w:r>
          </w:p>
          <w:p>
            <w:pPr>
              <w:pStyle w:val="null3"/>
              <w:ind w:firstLine="480"/>
              <w:jc w:val="left"/>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color w:val="000000"/>
              </w:rPr>
              <w:t>项目服务期：</w:t>
            </w:r>
            <w:r>
              <w:rPr>
                <w:rFonts w:ascii="仿宋_GB2312" w:hAnsi="仿宋_GB2312" w:cs="仿宋_GB2312" w:eastAsia="仿宋_GB2312"/>
                <w:sz w:val="24"/>
                <w:color w:val="000000"/>
              </w:rPr>
              <w:t>一</w:t>
            </w:r>
            <w:r>
              <w:rPr>
                <w:rFonts w:ascii="仿宋_GB2312" w:hAnsi="仿宋_GB2312" w:cs="仿宋_GB2312" w:eastAsia="仿宋_GB2312"/>
                <w:sz w:val="24"/>
                <w:color w:val="000000"/>
              </w:rPr>
              <w:t>年</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b/>
              </w:rPr>
              <w:t>二、服务要求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采购人</w:t>
            </w:r>
            <w:r>
              <w:rPr>
                <w:rFonts w:ascii="仿宋_GB2312" w:hAnsi="仿宋_GB2312" w:cs="仿宋_GB2312" w:eastAsia="仿宋_GB2312"/>
                <w:sz w:val="24"/>
              </w:rPr>
              <w:t>职工餐厅按设计要求，配置了烹制间、配菜加工间、主副食仓库、洗碗间，配有四个天然气灶头、矮仔炉、蒸车、冷藏柜、发酵机、豆浆机、面点设备一套、抽排系统、不锈钢厨具餐具等，食堂各项用具齐全；餐桌、餐椅配置到位，水电气正常供应。</w:t>
            </w:r>
          </w:p>
          <w:p>
            <w:pPr>
              <w:pStyle w:val="null3"/>
              <w:ind w:firstLine="480"/>
              <w:jc w:val="both"/>
            </w:pPr>
            <w:r>
              <w:rPr>
                <w:rFonts w:ascii="仿宋_GB2312" w:hAnsi="仿宋_GB2312" w:cs="仿宋_GB2312" w:eastAsia="仿宋_GB2312"/>
                <w:sz w:val="24"/>
                <w:color w:val="000000"/>
              </w:rPr>
              <w:t>2.餐标：早餐5元、午餐18元</w:t>
            </w:r>
            <w:r>
              <w:rPr>
                <w:rFonts w:ascii="仿宋_GB2312" w:hAnsi="仿宋_GB2312" w:cs="仿宋_GB2312" w:eastAsia="仿宋_GB2312"/>
                <w:sz w:val="24"/>
                <w:color w:val="000000"/>
              </w:rPr>
              <w:t>、晚餐</w:t>
            </w:r>
            <w:r>
              <w:rPr>
                <w:rFonts w:ascii="仿宋_GB2312" w:hAnsi="仿宋_GB2312" w:cs="仿宋_GB2312" w:eastAsia="仿宋_GB2312"/>
                <w:sz w:val="24"/>
                <w:color w:val="000000"/>
              </w:rPr>
              <w:t>12元</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3.菜品内容：</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1）早餐标准；2款凉菜、2款热菜、2款粥类、2款小吃；饼类、鸡蛋、主食各一款。</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2）午餐标准：4款热菜（2荤2素）、2款主食、4款小吃、2款汤类，1款时令水果。</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3）晚餐标准：3</w:t>
            </w:r>
            <w:r>
              <w:rPr>
                <w:rFonts w:ascii="仿宋_GB2312" w:hAnsi="仿宋_GB2312" w:cs="仿宋_GB2312" w:eastAsia="仿宋_GB2312"/>
                <w:sz w:val="24"/>
                <w:color w:val="000000"/>
              </w:rPr>
              <w:t>款热菜（</w:t>
            </w:r>
            <w:r>
              <w:rPr>
                <w:rFonts w:ascii="仿宋_GB2312" w:hAnsi="仿宋_GB2312" w:cs="仿宋_GB2312" w:eastAsia="仿宋_GB2312"/>
                <w:sz w:val="24"/>
                <w:color w:val="000000"/>
              </w:rPr>
              <w:t>1</w:t>
            </w:r>
            <w:r>
              <w:rPr>
                <w:rFonts w:ascii="仿宋_GB2312" w:hAnsi="仿宋_GB2312" w:cs="仿宋_GB2312" w:eastAsia="仿宋_GB2312"/>
                <w:sz w:val="24"/>
                <w:color w:val="000000"/>
              </w:rPr>
              <w:t>荤</w:t>
            </w:r>
            <w:r>
              <w:rPr>
                <w:rFonts w:ascii="仿宋_GB2312" w:hAnsi="仿宋_GB2312" w:cs="仿宋_GB2312" w:eastAsia="仿宋_GB2312"/>
                <w:sz w:val="24"/>
                <w:color w:val="000000"/>
              </w:rPr>
              <w:t>2素）、2款主食、</w:t>
            </w:r>
            <w:r>
              <w:rPr>
                <w:rFonts w:ascii="仿宋_GB2312" w:hAnsi="仿宋_GB2312" w:cs="仿宋_GB2312" w:eastAsia="仿宋_GB2312"/>
                <w:sz w:val="24"/>
                <w:color w:val="000000"/>
              </w:rPr>
              <w:t>3</w:t>
            </w:r>
            <w:r>
              <w:rPr>
                <w:rFonts w:ascii="仿宋_GB2312" w:hAnsi="仿宋_GB2312" w:cs="仿宋_GB2312" w:eastAsia="仿宋_GB2312"/>
                <w:sz w:val="24"/>
                <w:color w:val="000000"/>
              </w:rPr>
              <w:t>款小吃、</w:t>
            </w:r>
            <w:r>
              <w:rPr>
                <w:rFonts w:ascii="仿宋_GB2312" w:hAnsi="仿宋_GB2312" w:cs="仿宋_GB2312" w:eastAsia="仿宋_GB2312"/>
                <w:sz w:val="24"/>
                <w:color w:val="000000"/>
              </w:rPr>
              <w:t>1</w:t>
            </w:r>
            <w:r>
              <w:rPr>
                <w:rFonts w:ascii="仿宋_GB2312" w:hAnsi="仿宋_GB2312" w:cs="仿宋_GB2312" w:eastAsia="仿宋_GB2312"/>
                <w:sz w:val="24"/>
                <w:color w:val="000000"/>
              </w:rPr>
              <w:t>款汤类，</w:t>
            </w:r>
            <w:r>
              <w:rPr>
                <w:rFonts w:ascii="仿宋_GB2312" w:hAnsi="仿宋_GB2312" w:cs="仿宋_GB2312" w:eastAsia="仿宋_GB2312"/>
                <w:sz w:val="24"/>
                <w:color w:val="000000"/>
              </w:rPr>
              <w:t>1款时令水果。</w:t>
            </w:r>
          </w:p>
          <w:p>
            <w:pPr>
              <w:pStyle w:val="null3"/>
              <w:ind w:firstLine="480"/>
              <w:jc w:val="both"/>
            </w:pPr>
            <w:r>
              <w:rPr>
                <w:rFonts w:ascii="仿宋_GB2312" w:hAnsi="仿宋_GB2312" w:cs="仿宋_GB2312" w:eastAsia="仿宋_GB2312"/>
                <w:sz w:val="24"/>
                <w:color w:val="000000"/>
              </w:rPr>
              <w:t>4.就餐时间：</w:t>
            </w:r>
          </w:p>
          <w:p>
            <w:pPr>
              <w:pStyle w:val="null3"/>
              <w:ind w:firstLine="480"/>
              <w:jc w:val="both"/>
            </w:pPr>
            <w:r>
              <w:rPr>
                <w:rFonts w:ascii="仿宋_GB2312" w:hAnsi="仿宋_GB2312" w:cs="仿宋_GB2312" w:eastAsia="仿宋_GB2312"/>
                <w:sz w:val="24"/>
              </w:rPr>
              <w:t>早餐：</w:t>
            </w:r>
            <w:r>
              <w:rPr>
                <w:rFonts w:ascii="仿宋_GB2312" w:hAnsi="仿宋_GB2312" w:cs="仿宋_GB2312" w:eastAsia="仿宋_GB2312"/>
                <w:sz w:val="24"/>
              </w:rPr>
              <w:t>7:30-</w:t>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0</w:t>
            </w:r>
          </w:p>
          <w:p>
            <w:pPr>
              <w:pStyle w:val="null3"/>
              <w:ind w:firstLine="480"/>
              <w:jc w:val="both"/>
            </w:pPr>
            <w:r>
              <w:rPr>
                <w:rFonts w:ascii="仿宋_GB2312" w:hAnsi="仿宋_GB2312" w:cs="仿宋_GB2312" w:eastAsia="仿宋_GB2312"/>
                <w:sz w:val="24"/>
              </w:rPr>
              <w:t>午餐：</w:t>
            </w:r>
            <w:r>
              <w:rPr>
                <w:rFonts w:ascii="仿宋_GB2312" w:hAnsi="仿宋_GB2312" w:cs="仿宋_GB2312" w:eastAsia="仿宋_GB2312"/>
                <w:sz w:val="24"/>
              </w:rPr>
              <w:t>11:30-13：00</w:t>
            </w:r>
          </w:p>
          <w:p>
            <w:pPr>
              <w:pStyle w:val="null3"/>
              <w:spacing w:after="120"/>
              <w:jc w:val="both"/>
            </w:pPr>
            <w:r>
              <w:rPr>
                <w:rFonts w:ascii="仿宋_GB2312" w:hAnsi="仿宋_GB2312" w:cs="仿宋_GB2312" w:eastAsia="仿宋_GB2312"/>
                <w:sz w:val="21"/>
              </w:rPr>
              <w:t xml:space="preserve">    </w:t>
            </w:r>
            <w:r>
              <w:rPr>
                <w:rFonts w:ascii="仿宋_GB2312" w:hAnsi="仿宋_GB2312" w:cs="仿宋_GB2312" w:eastAsia="仿宋_GB2312"/>
                <w:sz w:val="24"/>
              </w:rPr>
              <w:t>晚餐：</w:t>
            </w:r>
            <w:r>
              <w:rPr>
                <w:rFonts w:ascii="仿宋_GB2312" w:hAnsi="仿宋_GB2312" w:cs="仿宋_GB2312" w:eastAsia="仿宋_GB2312"/>
                <w:sz w:val="24"/>
              </w:rPr>
              <w:t>18：00-19：00</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就餐形式：</w:t>
            </w:r>
          </w:p>
          <w:p>
            <w:pPr>
              <w:pStyle w:val="null3"/>
              <w:ind w:firstLine="480"/>
              <w:jc w:val="both"/>
            </w:pPr>
            <w:r>
              <w:rPr>
                <w:rFonts w:ascii="仿宋_GB2312" w:hAnsi="仿宋_GB2312" w:cs="仿宋_GB2312" w:eastAsia="仿宋_GB2312"/>
                <w:sz w:val="24"/>
                <w:color w:val="000000"/>
              </w:rPr>
              <w:t>餐厅为全自助形式，大厅入口一次性刷卡就餐，全部为职工自行取餐，在规定的开饭时间内供应不断档。</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供应商</w:t>
            </w:r>
            <w:r>
              <w:rPr>
                <w:rFonts w:ascii="仿宋_GB2312" w:hAnsi="仿宋_GB2312" w:cs="仿宋_GB2312" w:eastAsia="仿宋_GB2312"/>
                <w:sz w:val="24"/>
              </w:rPr>
              <w:t>工作人员必须身体健康，仪容端正，品德良好，无违法犯罪记录，</w:t>
            </w:r>
            <w:r>
              <w:rPr>
                <w:rFonts w:ascii="仿宋_GB2312" w:hAnsi="仿宋_GB2312" w:cs="仿宋_GB2312" w:eastAsia="仿宋_GB2312"/>
                <w:sz w:val="24"/>
              </w:rPr>
              <w:t>供应商</w:t>
            </w:r>
            <w:r>
              <w:rPr>
                <w:rFonts w:ascii="仿宋_GB2312" w:hAnsi="仿宋_GB2312" w:cs="仿宋_GB2312" w:eastAsia="仿宋_GB2312"/>
                <w:sz w:val="24"/>
              </w:rPr>
              <w:t>保证所有上岗工作人员身份证、健康证齐全、有效，并报</w:t>
            </w:r>
            <w:r>
              <w:rPr>
                <w:rFonts w:ascii="仿宋_GB2312" w:hAnsi="仿宋_GB2312" w:cs="仿宋_GB2312" w:eastAsia="仿宋_GB2312"/>
                <w:sz w:val="24"/>
              </w:rPr>
              <w:t>采购人</w:t>
            </w:r>
            <w:r>
              <w:rPr>
                <w:rFonts w:ascii="仿宋_GB2312" w:hAnsi="仿宋_GB2312" w:cs="仿宋_GB2312" w:eastAsia="仿宋_GB2312"/>
                <w:sz w:val="24"/>
              </w:rPr>
              <w:t>备案，并须在</w:t>
            </w:r>
            <w:r>
              <w:rPr>
                <w:rFonts w:ascii="仿宋_GB2312" w:hAnsi="仿宋_GB2312" w:cs="仿宋_GB2312" w:eastAsia="仿宋_GB2312"/>
                <w:sz w:val="24"/>
              </w:rPr>
              <w:t>采购人</w:t>
            </w:r>
            <w:r>
              <w:rPr>
                <w:rFonts w:ascii="仿宋_GB2312" w:hAnsi="仿宋_GB2312" w:cs="仿宋_GB2312" w:eastAsia="仿宋_GB2312"/>
                <w:sz w:val="24"/>
              </w:rPr>
              <w:t>的安全保卫部办理相关手续。</w:t>
            </w:r>
          </w:p>
          <w:p>
            <w:pPr>
              <w:pStyle w:val="null3"/>
              <w:ind w:firstLine="480"/>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属于旅游单位，全年无休，</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需提供常年用餐服务。</w:t>
            </w:r>
          </w:p>
          <w:p>
            <w:pPr>
              <w:pStyle w:val="null3"/>
              <w:ind w:firstLine="480"/>
              <w:jc w:val="left"/>
            </w:pPr>
            <w:r>
              <w:rPr>
                <w:rFonts w:ascii="仿宋_GB2312" w:hAnsi="仿宋_GB2312" w:cs="仿宋_GB2312" w:eastAsia="仿宋_GB2312"/>
                <w:sz w:val="24"/>
                <w:color w:val="000000"/>
              </w:rPr>
              <w:t>8.根据就餐人数，要求配置</w:t>
            </w:r>
            <w:r>
              <w:rPr>
                <w:rFonts w:ascii="仿宋_GB2312" w:hAnsi="仿宋_GB2312" w:cs="仿宋_GB2312" w:eastAsia="仿宋_GB2312"/>
                <w:sz w:val="24"/>
                <w:color w:val="000000"/>
              </w:rPr>
              <w:t>7</w:t>
            </w:r>
            <w:r>
              <w:rPr>
                <w:rFonts w:ascii="仿宋_GB2312" w:hAnsi="仿宋_GB2312" w:cs="仿宋_GB2312" w:eastAsia="仿宋_GB2312"/>
                <w:sz w:val="24"/>
                <w:color w:val="000000"/>
              </w:rPr>
              <w:t>人进行服务保障，人员配置如下：</w:t>
            </w:r>
          </w:p>
          <w:p>
            <w:pPr>
              <w:pStyle w:val="null3"/>
              <w:jc w:val="center"/>
            </w:pPr>
            <w:r>
              <w:rPr>
                <w:rFonts w:ascii="仿宋_GB2312" w:hAnsi="仿宋_GB2312" w:cs="仿宋_GB2312" w:eastAsia="仿宋_GB2312"/>
                <w:sz w:val="24"/>
                <w:b/>
                <w:color w:val="000000"/>
              </w:rPr>
              <w:t>人员配置表</w:t>
            </w:r>
          </w:p>
          <w:tbl>
            <w:tblPr>
              <w:tblBorders>
                <w:top w:val="none" w:color="000000" w:sz="4"/>
                <w:left w:val="none" w:color="000000" w:sz="4"/>
                <w:bottom w:val="none" w:color="000000" w:sz="4"/>
                <w:right w:val="none" w:color="000000" w:sz="4"/>
                <w:insideH w:val="none"/>
                <w:insideV w:val="none"/>
              </w:tblBorders>
            </w:tblPr>
            <w:tblGrid>
              <w:gridCol w:w="848"/>
              <w:gridCol w:w="702"/>
              <w:gridCol w:w="996"/>
            </w:tblGrid>
            <w:tr>
              <w:tc>
                <w:tcPr>
                  <w:tcW w:type="dxa" w:w="8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333333"/>
                    </w:rPr>
                    <w:t>人员职位</w:t>
                  </w:r>
                </w:p>
              </w:tc>
              <w:tc>
                <w:tcPr>
                  <w:tcW w:type="dxa" w:w="7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333333"/>
                    </w:rPr>
                    <w:t>人数</w:t>
                  </w:r>
                </w:p>
              </w:tc>
              <w:tc>
                <w:tcPr>
                  <w:tcW w:type="dxa" w:w="9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333333"/>
                    </w:rPr>
                    <w:t>人员配备</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333333"/>
                    </w:rPr>
                    <w:t>管理人员</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333333"/>
                    </w:rPr>
                    <w:t>1</w:t>
                  </w:r>
                </w:p>
              </w:tc>
              <w:tc>
                <w:tcPr>
                  <w:tcW w:type="dxa" w:w="9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333333"/>
                    </w:rPr>
                    <w:t>主管兼炒</w:t>
                  </w:r>
                  <w:r>
                    <w:rPr>
                      <w:rFonts w:ascii="仿宋_GB2312" w:hAnsi="仿宋_GB2312" w:cs="仿宋_GB2312" w:eastAsia="仿宋_GB2312"/>
                      <w:sz w:val="24"/>
                      <w:b/>
                      <w:color w:val="333333"/>
                    </w:rPr>
                    <w:t>锅</w:t>
                  </w:r>
                  <w:r>
                    <w:rPr>
                      <w:rFonts w:ascii="仿宋_GB2312" w:hAnsi="仿宋_GB2312" w:cs="仿宋_GB2312" w:eastAsia="仿宋_GB2312"/>
                      <w:sz w:val="24"/>
                      <w:b/>
                      <w:color w:val="333333"/>
                    </w:rPr>
                    <w:t>厨师</w:t>
                  </w:r>
                </w:p>
              </w:tc>
            </w:tr>
            <w:tr>
              <w:tc>
                <w:tcPr>
                  <w:tcW w:type="dxa" w:w="8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333333"/>
                    </w:rPr>
                    <w:t>厨师</w:t>
                  </w:r>
                </w:p>
              </w:tc>
              <w:tc>
                <w:tcPr>
                  <w:tcW w:type="dxa" w:w="7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333333"/>
                    </w:rPr>
                    <w:t>3</w:t>
                  </w:r>
                </w:p>
              </w:tc>
              <w:tc>
                <w:tcPr>
                  <w:tcW w:type="dxa" w:w="9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333333"/>
                    </w:rPr>
                    <w:t>炒菜1</w:t>
                  </w:r>
                  <w:r>
                    <w:rPr>
                      <w:rFonts w:ascii="仿宋_GB2312" w:hAnsi="仿宋_GB2312" w:cs="仿宋_GB2312" w:eastAsia="仿宋_GB2312"/>
                      <w:sz w:val="24"/>
                      <w:b/>
                      <w:color w:val="333333"/>
                    </w:rPr>
                    <w:t>人</w:t>
                  </w:r>
                </w:p>
              </w:tc>
            </w:tr>
            <w:tr>
              <w:tc>
                <w:tcPr>
                  <w:tcW w:type="dxa" w:w="848"/>
                  <w:vMerge/>
                  <w:tcBorders>
                    <w:top w:val="none" w:color="000000" w:sz="4"/>
                    <w:left w:val="single" w:color="000000" w:sz="4"/>
                    <w:bottom w:val="single" w:color="000000" w:sz="4"/>
                    <w:right w:val="single" w:color="000000" w:sz="4"/>
                  </w:tcBorders>
                </w:tcPr>
                <w:p/>
              </w:tc>
              <w:tc>
                <w:tcPr>
                  <w:tcW w:type="dxa" w:w="702"/>
                  <w:vMerge/>
                  <w:tcBorders>
                    <w:top w:val="none" w:color="000000" w:sz="4"/>
                    <w:left w:val="none" w:color="000000" w:sz="4"/>
                    <w:bottom w:val="single" w:color="000000" w:sz="4"/>
                    <w:right w:val="single" w:color="000000" w:sz="4"/>
                  </w:tcBorders>
                </w:tcPr>
                <w:p/>
              </w:tc>
              <w:tc>
                <w:tcPr>
                  <w:tcW w:type="dxa" w:w="9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333333"/>
                    </w:rPr>
                    <w:t>切配</w:t>
                  </w:r>
                  <w:r>
                    <w:rPr>
                      <w:rFonts w:ascii="仿宋_GB2312" w:hAnsi="仿宋_GB2312" w:cs="仿宋_GB2312" w:eastAsia="仿宋_GB2312"/>
                      <w:sz w:val="24"/>
                      <w:b/>
                      <w:color w:val="333333"/>
                    </w:rPr>
                    <w:t>1</w:t>
                  </w:r>
                  <w:r>
                    <w:rPr>
                      <w:rFonts w:ascii="仿宋_GB2312" w:hAnsi="仿宋_GB2312" w:cs="仿宋_GB2312" w:eastAsia="仿宋_GB2312"/>
                      <w:sz w:val="24"/>
                      <w:b/>
                      <w:color w:val="333333"/>
                    </w:rPr>
                    <w:t>人</w:t>
                  </w:r>
                </w:p>
              </w:tc>
            </w:tr>
            <w:tr>
              <w:tc>
                <w:tcPr>
                  <w:tcW w:type="dxa" w:w="848"/>
                  <w:vMerge/>
                  <w:tcBorders>
                    <w:top w:val="none" w:color="000000" w:sz="4"/>
                    <w:left w:val="single" w:color="000000" w:sz="4"/>
                    <w:bottom w:val="single" w:color="000000" w:sz="4"/>
                    <w:right w:val="single" w:color="000000" w:sz="4"/>
                  </w:tcBorders>
                </w:tcPr>
                <w:p/>
              </w:tc>
              <w:tc>
                <w:tcPr>
                  <w:tcW w:type="dxa" w:w="702"/>
                  <w:vMerge/>
                  <w:tcBorders>
                    <w:top w:val="none" w:color="000000" w:sz="4"/>
                    <w:left w:val="none" w:color="000000" w:sz="4"/>
                    <w:bottom w:val="single" w:color="000000" w:sz="4"/>
                    <w:right w:val="single" w:color="000000" w:sz="4"/>
                  </w:tcBorders>
                </w:tcPr>
                <w:p/>
              </w:tc>
              <w:tc>
                <w:tcPr>
                  <w:tcW w:type="dxa" w:w="9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333333"/>
                    </w:rPr>
                    <w:t>面点1</w:t>
                  </w:r>
                  <w:r>
                    <w:rPr>
                      <w:rFonts w:ascii="仿宋_GB2312" w:hAnsi="仿宋_GB2312" w:cs="仿宋_GB2312" w:eastAsia="仿宋_GB2312"/>
                      <w:sz w:val="24"/>
                      <w:b/>
                      <w:color w:val="333333"/>
                    </w:rPr>
                    <w:t>人</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333333"/>
                    </w:rPr>
                    <w:t>服务员</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333333"/>
                    </w:rPr>
                    <w:t>1</w:t>
                  </w:r>
                </w:p>
              </w:tc>
              <w:tc>
                <w:tcPr>
                  <w:tcW w:type="dxa" w:w="9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333333"/>
                    </w:rPr>
                    <w:t>服务</w:t>
                  </w:r>
                  <w:r>
                    <w:rPr>
                      <w:rFonts w:ascii="仿宋_GB2312" w:hAnsi="仿宋_GB2312" w:cs="仿宋_GB2312" w:eastAsia="仿宋_GB2312"/>
                      <w:sz w:val="24"/>
                      <w:b/>
                      <w:color w:val="333333"/>
                    </w:rPr>
                    <w:t>1</w:t>
                  </w:r>
                  <w:r>
                    <w:rPr>
                      <w:rFonts w:ascii="仿宋_GB2312" w:hAnsi="仿宋_GB2312" w:cs="仿宋_GB2312" w:eastAsia="仿宋_GB2312"/>
                      <w:sz w:val="24"/>
                      <w:b/>
                      <w:color w:val="333333"/>
                    </w:rPr>
                    <w:t>人</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333333"/>
                    </w:rPr>
                    <w:t>消洗员</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333333"/>
                    </w:rPr>
                    <w:t>2</w:t>
                  </w:r>
                </w:p>
              </w:tc>
              <w:tc>
                <w:tcPr>
                  <w:tcW w:type="dxa" w:w="9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333333"/>
                    </w:rPr>
                    <w:t>洗碗工2人</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333333"/>
                    </w:rPr>
                    <w:t>小计</w:t>
                  </w:r>
                </w:p>
              </w:tc>
              <w:tc>
                <w:tcPr>
                  <w:tcW w:type="dxa" w:w="169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333333"/>
                    </w:rPr>
                    <w:t>7</w:t>
                  </w:r>
                  <w:r>
                    <w:rPr>
                      <w:rFonts w:ascii="仿宋_GB2312" w:hAnsi="仿宋_GB2312" w:cs="仿宋_GB2312" w:eastAsia="仿宋_GB2312"/>
                      <w:sz w:val="24"/>
                      <w:b/>
                      <w:color w:val="333333"/>
                    </w:rPr>
                    <w:t>人</w:t>
                  </w:r>
                </w:p>
              </w:tc>
            </w:tr>
          </w:tbl>
          <w:p>
            <w:pPr>
              <w:pStyle w:val="null3"/>
              <w:ind w:firstLine="480"/>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协调处理</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与当地市场监督、税务等国家行政执法部门的关系。</w:t>
            </w:r>
          </w:p>
          <w:p>
            <w:pPr>
              <w:pStyle w:val="null3"/>
              <w:ind w:firstLine="480"/>
              <w:jc w:val="both"/>
            </w:pPr>
            <w:r>
              <w:rPr>
                <w:rFonts w:ascii="仿宋_GB2312" w:hAnsi="仿宋_GB2312" w:cs="仿宋_GB2312" w:eastAsia="仿宋_GB2312"/>
                <w:sz w:val="24"/>
                <w:color w:val="000000"/>
              </w:rPr>
              <w:t>10</w:t>
            </w:r>
            <w:r>
              <w:rPr>
                <w:rFonts w:ascii="仿宋_GB2312" w:hAnsi="仿宋_GB2312" w:cs="仿宋_GB2312" w:eastAsia="仿宋_GB2312"/>
                <w:sz w:val="24"/>
                <w:color w:val="000000"/>
              </w:rPr>
              <w:t>.</w:t>
            </w:r>
            <w:r>
              <w:rPr>
                <w:rFonts w:ascii="仿宋_GB2312" w:hAnsi="仿宋_GB2312" w:cs="仿宋_GB2312" w:eastAsia="仿宋_GB2312"/>
                <w:sz w:val="24"/>
                <w:color w:val="000000"/>
              </w:rPr>
              <w:t>供应商需配合采购人完成特殊时段人员就餐登记及其他服务工作。</w:t>
            </w:r>
          </w:p>
          <w:p>
            <w:pPr>
              <w:pStyle w:val="null3"/>
              <w:spacing w:after="120"/>
              <w:jc w:val="both"/>
            </w:pPr>
            <w:r>
              <w:rPr>
                <w:rFonts w:ascii="仿宋_GB2312" w:hAnsi="仿宋_GB2312" w:cs="仿宋_GB2312" w:eastAsia="仿宋_GB2312"/>
                <w:sz w:val="24"/>
                <w:color w:val="000000"/>
              </w:rPr>
              <w:t xml:space="preserve">  11.供应商需每日及时清理厨余垃圾并投放到指定地点。</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供应商</w:t>
            </w:r>
            <w:r>
              <w:rPr>
                <w:rFonts w:ascii="仿宋_GB2312" w:hAnsi="仿宋_GB2312" w:cs="仿宋_GB2312" w:eastAsia="仿宋_GB2312"/>
                <w:sz w:val="24"/>
              </w:rPr>
              <w:t>必须按照</w:t>
            </w:r>
            <w:r>
              <w:rPr>
                <w:rFonts w:ascii="仿宋_GB2312" w:hAnsi="仿宋_GB2312" w:cs="仿宋_GB2312" w:eastAsia="仿宋_GB2312"/>
                <w:sz w:val="24"/>
              </w:rPr>
              <w:t>采购人</w:t>
            </w:r>
            <w:r>
              <w:rPr>
                <w:rFonts w:ascii="仿宋_GB2312" w:hAnsi="仿宋_GB2312" w:cs="仿宋_GB2312" w:eastAsia="仿宋_GB2312"/>
                <w:sz w:val="24"/>
              </w:rPr>
              <w:t>的要求，按时保质、保量地提供优质服务，保证</w:t>
            </w:r>
            <w:r>
              <w:rPr>
                <w:rFonts w:ascii="仿宋_GB2312" w:hAnsi="仿宋_GB2312" w:cs="仿宋_GB2312" w:eastAsia="仿宋_GB2312"/>
                <w:sz w:val="24"/>
              </w:rPr>
              <w:t>采购人</w:t>
            </w:r>
            <w:r>
              <w:rPr>
                <w:rFonts w:ascii="仿宋_GB2312" w:hAnsi="仿宋_GB2312" w:cs="仿宋_GB2312" w:eastAsia="仿宋_GB2312"/>
                <w:sz w:val="24"/>
              </w:rPr>
              <w:t>满意，不得分包转包所中标项目。</w:t>
            </w:r>
          </w:p>
          <w:p>
            <w:pPr>
              <w:pStyle w:val="null3"/>
              <w:ind w:firstLine="480"/>
              <w:jc w:val="both"/>
            </w:pPr>
            <w:r>
              <w:rPr>
                <w:rFonts w:ascii="仿宋_GB2312" w:hAnsi="仿宋_GB2312" w:cs="仿宋_GB2312" w:eastAsia="仿宋_GB2312"/>
                <w:sz w:val="24"/>
              </w:rPr>
              <w:t>13.供应商在日常运营过程中，定期配合采购人开展全体就餐人员民意满意度测评，主动收集就餐人员意见与建议。测评结果将作为本项目履约考核、费用结算、服务整改及违约处置的重要评判依据。</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供应商</w:t>
            </w:r>
            <w:r>
              <w:rPr>
                <w:rFonts w:ascii="仿宋_GB2312" w:hAnsi="仿宋_GB2312" w:cs="仿宋_GB2312" w:eastAsia="仿宋_GB2312"/>
                <w:sz w:val="24"/>
              </w:rPr>
              <w:t>用工制度根据实际工作需要自行制订，但必须符合国家相关法律、法规。</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供应商</w:t>
            </w:r>
            <w:r>
              <w:rPr>
                <w:rFonts w:ascii="仿宋_GB2312" w:hAnsi="仿宋_GB2312" w:cs="仿宋_GB2312" w:eastAsia="仿宋_GB2312"/>
                <w:sz w:val="24"/>
              </w:rPr>
              <w:t>定期对员工进行入职培训、消防培训、保密培训、食品安全培训等岗位培训，不断提高员工素质及技能，遵守采购单位内部管理措施。</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6.</w:t>
            </w:r>
            <w:r>
              <w:rPr>
                <w:rFonts w:ascii="仿宋_GB2312" w:hAnsi="仿宋_GB2312" w:cs="仿宋_GB2312" w:eastAsia="仿宋_GB2312"/>
                <w:sz w:val="24"/>
              </w:rPr>
              <w:t>供应商</w:t>
            </w:r>
            <w:r>
              <w:rPr>
                <w:rFonts w:ascii="仿宋_GB2312" w:hAnsi="仿宋_GB2312" w:cs="仿宋_GB2312" w:eastAsia="仿宋_GB2312"/>
                <w:sz w:val="24"/>
              </w:rPr>
              <w:t>在承包期间，应严格执行《食品安全卫生法》，确保食品质量，杜绝发生食品安全事件，由于管理不善或投标人员操作等因素引发的食品卫生安全事件，由</w:t>
            </w:r>
            <w:r>
              <w:rPr>
                <w:rFonts w:ascii="仿宋_GB2312" w:hAnsi="仿宋_GB2312" w:cs="仿宋_GB2312" w:eastAsia="仿宋_GB2312"/>
                <w:sz w:val="24"/>
              </w:rPr>
              <w:t>成交供应商</w:t>
            </w:r>
            <w:r>
              <w:rPr>
                <w:rFonts w:ascii="仿宋_GB2312" w:hAnsi="仿宋_GB2312" w:cs="仿宋_GB2312" w:eastAsia="仿宋_GB2312"/>
                <w:sz w:val="24"/>
              </w:rPr>
              <w:t>负全部责任，并无条件进行善后处理，</w:t>
            </w:r>
            <w:r>
              <w:rPr>
                <w:rFonts w:ascii="仿宋_GB2312" w:hAnsi="仿宋_GB2312" w:cs="仿宋_GB2312" w:eastAsia="仿宋_GB2312"/>
                <w:sz w:val="24"/>
              </w:rPr>
              <w:t>采购人</w:t>
            </w:r>
            <w:r>
              <w:rPr>
                <w:rFonts w:ascii="仿宋_GB2312" w:hAnsi="仿宋_GB2312" w:cs="仿宋_GB2312" w:eastAsia="仿宋_GB2312"/>
                <w:sz w:val="24"/>
              </w:rPr>
              <w:t>配合</w:t>
            </w:r>
            <w:r>
              <w:rPr>
                <w:rFonts w:ascii="仿宋_GB2312" w:hAnsi="仿宋_GB2312" w:cs="仿宋_GB2312" w:eastAsia="仿宋_GB2312"/>
                <w:sz w:val="24"/>
              </w:rPr>
              <w:t>。</w:t>
            </w:r>
          </w:p>
          <w:p>
            <w:pPr>
              <w:pStyle w:val="null3"/>
              <w:ind w:firstLine="480"/>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陕西历史博物馆秦汉馆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进度款，合同签订6个月后，达到付款条件起10个工作日内，支付合同总金额的40.0%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进度款，合同签订12个月后 ，达到付款条件起10个工作日内，支付合同总金额的20.0%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1、供应商需要在线提交所有通过电子化交易平台实施的政府采购项目的响应文件，同时，线下提交纸质响应文件正本壹份、副本贰份、电子版壹份（U盘壹份）。 2、纸质响应文件正本、副本、电子版，标明供应商名称分开密封递交（响应文件采用双面打印）。 3、线下纸质文件递交截止时间：同在线递交电子响应文件截止时间一致；线下纸质文件递交地点：西安市雁展路1111号莱安中心T6-15层。如需邮寄响应文件，仅接受顺丰速运（联系人：刘双莹、联系电话：029-81206622-824）。 4、保证金的退还：自采购合同签订之日起5个工作日内退还成交供应商的投标保证金。 5、采购人应按照采购文件和成交供应商响应文件，在成交通知书发出之日起25日内签订合同。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4供应商资格证明文件.docx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中小企业声明函.docx 残疾人福利性单位声明函 4供应商资格证明文件.docx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4供应商资格证明文件.docx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成立时间至提交投标文件截止时间不足一年的可提供成立后任意时段的资产负债表），或其开标前六个月内基本开户银行出具的资信证明，或信用担保机构出具的投标担保函。（（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以上三种形式的资料提供任何一种即可）</w:t>
            </w:r>
          </w:p>
        </w:tc>
        <w:tc>
          <w:tcPr>
            <w:tcW w:type="dxa" w:w="1661"/>
          </w:tcPr>
          <w:p>
            <w:pPr>
              <w:pStyle w:val="null3"/>
            </w:pPr>
            <w:r>
              <w:rPr>
                <w:rFonts w:ascii="仿宋_GB2312" w:hAnsi="仿宋_GB2312" w:cs="仿宋_GB2312" w:eastAsia="仿宋_GB2312"/>
              </w:rPr>
              <w:t>4供应商资格证明文件.docx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4供应商资格证明文件.docx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提供2025年6月至今已缴存的至少一个月的社会保障资金缴存单据或社保机构开具的社会保险参保缴费情况证明，依法不需要缴存社会保障资金的单位应提供相关证明材料。</w:t>
            </w:r>
          </w:p>
        </w:tc>
        <w:tc>
          <w:tcPr>
            <w:tcW w:type="dxa" w:w="1661"/>
          </w:tcPr>
          <w:p>
            <w:pPr>
              <w:pStyle w:val="null3"/>
            </w:pPr>
            <w:r>
              <w:rPr>
                <w:rFonts w:ascii="仿宋_GB2312" w:hAnsi="仿宋_GB2312" w:cs="仿宋_GB2312" w:eastAsia="仿宋_GB2312"/>
              </w:rPr>
              <w:t>4供应商资格证明文件.docx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4供应商资格证明文件.docx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4供应商资格证明文件.docx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法定代表人授权书及被授权人身份证明。（法定代表人直接磋商只须提供其身份证明）</w:t>
            </w:r>
          </w:p>
        </w:tc>
        <w:tc>
          <w:tcPr>
            <w:tcW w:type="dxa" w:w="1661"/>
          </w:tcPr>
          <w:p>
            <w:pPr>
              <w:pStyle w:val="null3"/>
            </w:pPr>
            <w:r>
              <w:rPr>
                <w:rFonts w:ascii="仿宋_GB2312" w:hAnsi="仿宋_GB2312" w:cs="仿宋_GB2312" w:eastAsia="仿宋_GB2312"/>
              </w:rPr>
              <w:t>4供应商资格证明文件.docx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特殊资质</w:t>
            </w:r>
          </w:p>
        </w:tc>
        <w:tc>
          <w:tcPr>
            <w:tcW w:type="dxa" w:w="3322"/>
          </w:tcPr>
          <w:p>
            <w:pPr>
              <w:pStyle w:val="null3"/>
            </w:pPr>
            <w:r>
              <w:rPr>
                <w:rFonts w:ascii="仿宋_GB2312" w:hAnsi="仿宋_GB2312" w:cs="仿宋_GB2312" w:eastAsia="仿宋_GB2312"/>
              </w:rPr>
              <w:t>供应商须具备有效的《食品经营许可证》。</w:t>
            </w:r>
          </w:p>
        </w:tc>
        <w:tc>
          <w:tcPr>
            <w:tcW w:type="dxa" w:w="1661"/>
          </w:tcPr>
          <w:p>
            <w:pPr>
              <w:pStyle w:val="null3"/>
            </w:pPr>
            <w:r>
              <w:rPr>
                <w:rFonts w:ascii="仿宋_GB2312" w:hAnsi="仿宋_GB2312" w:cs="仿宋_GB2312" w:eastAsia="仿宋_GB2312"/>
              </w:rPr>
              <w:t>4供应商资格证明文件.docx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本项目专门面向中小企业采购，供应商应为中小企业或监狱企业或残疾人福利性单位，并提供声明函。</w:t>
            </w:r>
          </w:p>
        </w:tc>
        <w:tc>
          <w:tcPr>
            <w:tcW w:type="dxa" w:w="1661"/>
          </w:tcPr>
          <w:p>
            <w:pPr>
              <w:pStyle w:val="null3"/>
            </w:pPr>
            <w:r>
              <w:rPr>
                <w:rFonts w:ascii="仿宋_GB2312" w:hAnsi="仿宋_GB2312" w:cs="仿宋_GB2312" w:eastAsia="仿宋_GB2312"/>
              </w:rPr>
              <w:t>4供应商资格证明文件.docx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1分项报价表.docx 3商务条款响应说明.docx 标的清单 报价表 5响应方案说明.docx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1分项报价表.docx 7保证金交纳凭证保函.docx 中小企业声明函.docx 3商务条款响应说明.docx 4供应商资格证明文件.docx 6供应商承诺书.docx 2服务内容及服务要求应答表.docx 5响应方案说明.docx 响应文件封面 残疾人福利性单位声明函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1分项报价表.docx 7保证金交纳凭证保函.docx 中小企业声明函.docx 3商务条款响应说明.docx 4供应商资格证明文件.docx 6供应商承诺书.docx 2服务内容及服务要求应答表.docx 5响应方案说明.docx 响应文件封面 残疾人福利性单位声明函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响应有效期达到磋商文件要求</w:t>
            </w:r>
          </w:p>
        </w:tc>
        <w:tc>
          <w:tcPr>
            <w:tcW w:type="dxa" w:w="1661"/>
          </w:tcPr>
          <w:p>
            <w:pPr>
              <w:pStyle w:val="null3"/>
            </w:pPr>
            <w:r>
              <w:rPr>
                <w:rFonts w:ascii="仿宋_GB2312" w:hAnsi="仿宋_GB2312" w:cs="仿宋_GB2312" w:eastAsia="仿宋_GB2312"/>
              </w:rPr>
              <w:t>1分项报价表.docx 7保证金交纳凭证保函.docx 中小企业声明函.docx 3商务条款响应说明.docx 4供应商资格证明文件.docx 6供应商承诺书.docx 2服务内容及服务要求应答表.docx 5响应方案说明.docx 响应文件封面 残疾人福利性单位声明函 标的清单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保证金交纳符合磋商文件要求</w:t>
            </w:r>
          </w:p>
        </w:tc>
        <w:tc>
          <w:tcPr>
            <w:tcW w:type="dxa" w:w="1661"/>
          </w:tcPr>
          <w:p>
            <w:pPr>
              <w:pStyle w:val="null3"/>
            </w:pPr>
            <w:r>
              <w:rPr>
                <w:rFonts w:ascii="仿宋_GB2312" w:hAnsi="仿宋_GB2312" w:cs="仿宋_GB2312" w:eastAsia="仿宋_GB2312"/>
              </w:rPr>
              <w:t>响应文件封面 7保证金交纳凭证保函.docx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1分项报价表.docx 7保证金交纳凭证保函.docx 中小企业声明函.docx 3商务条款响应说明.docx 4供应商资格证明文件.docx 6供应商承诺书.docx 2服务内容及服务要求应答表.docx 5响应方案说明.docx 响应文件封面 残疾人福利性单位声明函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根据本项目需求提供总体服务方案，包含但不限于：①服务目标及计划；②内部管理制度；③工作流程及服务标准；④考评办法；⑤培训机制等。 各项内容全面详细、阐述条理清晰、内容合理，贴合项目的实际情况，对评审内容中的各项要求有详细描述及说明得10分，每有一项缺项扣2分，每有一项内容存在一处缺陷扣1分，扣完为止。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食品安全管理方案</w:t>
            </w:r>
          </w:p>
        </w:tc>
        <w:tc>
          <w:tcPr>
            <w:tcW w:type="dxa" w:w="2492"/>
          </w:tcPr>
          <w:p>
            <w:pPr>
              <w:pStyle w:val="null3"/>
            </w:pPr>
            <w:r>
              <w:rPr>
                <w:rFonts w:ascii="仿宋_GB2312" w:hAnsi="仿宋_GB2312" w:cs="仿宋_GB2312" w:eastAsia="仿宋_GB2312"/>
              </w:rPr>
              <w:t>根据本项目需求提供食品安全管理方案，包括但不限于：①菜品质量保证；②食材日常贮存；③日常检验检查；④安全执行标准等。 各项内容全面详细、阐述条理清晰、内容合理，贴合项目的实际情况，对评审内容中的各项要求有详细描述及说明得8分，每有一项缺项扣2分，每有一项内容存在一处缺陷扣1分，扣完为止。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膳食搭配方案</w:t>
            </w:r>
          </w:p>
        </w:tc>
        <w:tc>
          <w:tcPr>
            <w:tcW w:type="dxa" w:w="2492"/>
          </w:tcPr>
          <w:p>
            <w:pPr>
              <w:pStyle w:val="null3"/>
            </w:pPr>
            <w:r>
              <w:rPr>
                <w:rFonts w:ascii="仿宋_GB2312" w:hAnsi="仿宋_GB2312" w:cs="仿宋_GB2312" w:eastAsia="仿宋_GB2312"/>
              </w:rPr>
              <w:t>根据本项目需求提供膳食搭配方案，包括但不限于：①餐品种类；②膳食科学搭配；③针对中国传统习俗节日、不同人群特点的搭配方案。 各项内容全面详细、阐述条理清晰、内容合理，贴合项目的实际情况，对评审内容中的各项要求有详细描述及说明得6分，每有一项缺项扣2分，每有一项内容存在一处缺陷扣1分，扣完为止。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服务质量控制方案</w:t>
            </w:r>
          </w:p>
        </w:tc>
        <w:tc>
          <w:tcPr>
            <w:tcW w:type="dxa" w:w="2492"/>
          </w:tcPr>
          <w:p>
            <w:pPr>
              <w:pStyle w:val="null3"/>
            </w:pPr>
            <w:r>
              <w:rPr>
                <w:rFonts w:ascii="仿宋_GB2312" w:hAnsi="仿宋_GB2312" w:cs="仿宋_GB2312" w:eastAsia="仿宋_GB2312"/>
              </w:rPr>
              <w:t>根据本项目需求提供服务质量控制措施，包括但不限于：①食品卫生控制措施；②人员及环境卫生控制措施；③成本管控措施；④设施设备管理措施；⑤节能管理措施等。 各项内容全面详细、阐述条理清晰、内容合理，贴合项目的实际情况，对评审内容中的各项要求有详细描述及说明得10分，每有一项缺项扣2分，每有一项内容存在一处缺陷扣1分，扣完为止。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根据本项目需求提供应急预案：包含但不限于：①食品安全事故及食物中毒事件应急预案；②停水、停电、停气应急预案；③工伤应急处置预案；④消防安全突发事件应急预案等。 各项内容全面详细、阐述条理清晰、内容合理，贴合项目的实际情况，对评审内容中的各项要求有详细描述及说明得6分，每有一项缺项扣1.5分，每有一项内容存在一处缺陷扣0.5分，扣完为止。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人员配置1</w:t>
            </w:r>
          </w:p>
        </w:tc>
        <w:tc>
          <w:tcPr>
            <w:tcW w:type="dxa" w:w="2492"/>
          </w:tcPr>
          <w:p>
            <w:pPr>
              <w:pStyle w:val="null3"/>
            </w:pPr>
            <w:r>
              <w:rPr>
                <w:rFonts w:ascii="仿宋_GB2312" w:hAnsi="仿宋_GB2312" w:cs="仿宋_GB2312" w:eastAsia="仿宋_GB2312"/>
              </w:rPr>
              <w:t>拟派项目主管：具有中式烹调师/中式面点师职业资格证书或人社备案机构核发的职业技能等级证书，一级（高级技师）得3分；二级（技师）得2分；三级（高级）得1分. 注：须提供项目主管资质证书及本单位在职证明复印件加盖公章。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人员配置2</w:t>
            </w:r>
          </w:p>
        </w:tc>
        <w:tc>
          <w:tcPr>
            <w:tcW w:type="dxa" w:w="2492"/>
          </w:tcPr>
          <w:p>
            <w:pPr>
              <w:pStyle w:val="null3"/>
            </w:pPr>
            <w:r>
              <w:rPr>
                <w:rFonts w:ascii="仿宋_GB2312" w:hAnsi="仿宋_GB2312" w:cs="仿宋_GB2312" w:eastAsia="仿宋_GB2312"/>
              </w:rPr>
              <w:t>拟派厨师：具有中式烹调师/中式面点师职业资格证书或人社备案机构核发的职业技能等级证书，每具备一个三级（高级）及以上得3分，四级（中级）得2分，此项最高得8分。 注：须提供以上人员资质证书及本单位在职证明复印件加盖公章。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根据本项目需求提供服务承诺，包括：①食品安全承诺；②消防安全承诺；③食堂环境清洁卫生承诺；④依法用工承诺；⑤厨房设备安全运行承诺；⑥菜品质量保障承诺；⑦对采购人内部信息的保密承诺书。 供应商每提供一项承诺得1分，满分7分；无承诺或承诺内容不满足采购需求的不得分。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供应商具备ISO9001 质量管理体系认证证书，得2分； 供应商具备ISO22000 食品安全管理体系认证证书，得3分； 供应商具备ISO45001 职业健康安全管理体系认证证书，得2分。 注：提供以上证书复印件加盖供应商公章。</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供应商提供2023年5月1日至今（以合同签订日期为准）类似项目的业绩合同，每份计3分，满分15分。 注：须提供项目合同或协议的关键页（包括但不限于合同首尾页、项目内容页，签字盖章页，签订日期页）扫描件，加盖公章，否则不计分。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5响应方案说明.docx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价格分统一采用低价优先法计算，即满足磋商文件要求且磋商价格最低的磋商报价为评标基准价，其价格分为满分。其他供应商的价格分统一按照下列公式计算： 磋商报价得分=(评标基准价／磋商报价)×价格权值×100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1分项报价表.docx</w:t>
            </w:r>
          </w:p>
          <w:p>
            <w:pPr>
              <w:pStyle w:val="null3"/>
            </w:pPr>
            <w:r>
              <w:rPr>
                <w:rFonts w:ascii="仿宋_GB2312" w:hAnsi="仿宋_GB2312" w:cs="仿宋_GB2312" w:eastAsia="仿宋_GB2312"/>
              </w:rPr>
              <w:t>中小企业声明函.docx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详见附件：2服务内容及服务要求应答表.docx</w:t>
      </w:r>
    </w:p>
    <w:p>
      <w:pPr>
        <w:pStyle w:val="null3"/>
        <w:ind w:firstLine="960"/>
      </w:pPr>
      <w:r>
        <w:rPr>
          <w:rFonts w:ascii="仿宋_GB2312" w:hAnsi="仿宋_GB2312" w:cs="仿宋_GB2312" w:eastAsia="仿宋_GB2312"/>
        </w:rPr>
        <w:t>详见附件：3商务条款响应说明.docx</w:t>
      </w:r>
    </w:p>
    <w:p>
      <w:pPr>
        <w:pStyle w:val="null3"/>
        <w:ind w:firstLine="960"/>
      </w:pPr>
      <w:r>
        <w:rPr>
          <w:rFonts w:ascii="仿宋_GB2312" w:hAnsi="仿宋_GB2312" w:cs="仿宋_GB2312" w:eastAsia="仿宋_GB2312"/>
        </w:rPr>
        <w:t>详见附件：4供应商资格证明文件.docx</w:t>
      </w:r>
    </w:p>
    <w:p>
      <w:pPr>
        <w:pStyle w:val="null3"/>
        <w:ind w:firstLine="960"/>
      </w:pPr>
      <w:r>
        <w:rPr>
          <w:rFonts w:ascii="仿宋_GB2312" w:hAnsi="仿宋_GB2312" w:cs="仿宋_GB2312" w:eastAsia="仿宋_GB2312"/>
        </w:rPr>
        <w:t>详见附件：5响应方案说明.docx</w:t>
      </w:r>
    </w:p>
    <w:p>
      <w:pPr>
        <w:pStyle w:val="null3"/>
        <w:ind w:firstLine="960"/>
      </w:pPr>
      <w:r>
        <w:rPr>
          <w:rFonts w:ascii="仿宋_GB2312" w:hAnsi="仿宋_GB2312" w:cs="仿宋_GB2312" w:eastAsia="仿宋_GB2312"/>
        </w:rPr>
        <w:t>详见附件：6供应商承诺书.docx</w:t>
      </w:r>
    </w:p>
    <w:p>
      <w:pPr>
        <w:pStyle w:val="null3"/>
        <w:ind w:firstLine="960"/>
      </w:pPr>
      <w:r>
        <w:rPr>
          <w:rFonts w:ascii="仿宋_GB2312" w:hAnsi="仿宋_GB2312" w:cs="仿宋_GB2312" w:eastAsia="仿宋_GB2312"/>
        </w:rPr>
        <w:t>详见附件：7保证金交纳凭证保函.docx</w:t>
      </w:r>
    </w:p>
    <w:p>
      <w:pPr>
        <w:pStyle w:val="null3"/>
        <w:ind w:firstLine="960"/>
      </w:pPr>
      <w:r>
        <w:rPr>
          <w:rFonts w:ascii="仿宋_GB2312" w:hAnsi="仿宋_GB2312" w:cs="仿宋_GB2312" w:eastAsia="仿宋_GB2312"/>
        </w:rPr>
        <w:t>详见附件：中小企业声明函.docx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