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BAED6">
      <w:pPr>
        <w:pStyle w:val="22"/>
        <w:jc w:val="center"/>
        <w:outlineLvl w:val="1"/>
        <w:rPr>
          <w:rFonts w:ascii="宋体" w:hAnsi="宋体" w:eastAsia="宋体"/>
          <w:highlight w:val="none"/>
          <w:lang w:eastAsia="zh-CN"/>
        </w:rPr>
      </w:pPr>
      <w:bookmarkStart w:id="0" w:name="_Toc230358074"/>
      <w:r>
        <w:rPr>
          <w:rFonts w:ascii="宋体" w:hAnsi="宋体" w:eastAsia="宋体" w:cs="仿宋_GB2312"/>
          <w:b/>
          <w:sz w:val="36"/>
          <w:highlight w:val="none"/>
        </w:rPr>
        <w:t>第八章 拟签订采购合同文本</w:t>
      </w:r>
      <w:bookmarkEnd w:id="0"/>
    </w:p>
    <w:p w14:paraId="011FE30B">
      <w:pPr>
        <w:spacing w:line="480" w:lineRule="exact"/>
        <w:ind w:firstLine="482"/>
        <w:jc w:val="center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（此合同仅作为参考，最终签订的合同以采购人确定的合同内容为准）</w:t>
      </w:r>
    </w:p>
    <w:p w14:paraId="57C45B63">
      <w:pPr>
        <w:spacing w:line="480" w:lineRule="exact"/>
        <w:ind w:firstLine="720" w:firstLineChars="300"/>
        <w:rPr>
          <w:rFonts w:hint="eastAsia" w:ascii="宋体" w:hAnsi="宋体" w:cs="宋体"/>
          <w:sz w:val="24"/>
          <w:highlight w:val="none"/>
          <w:u w:val="single"/>
        </w:rPr>
      </w:pPr>
    </w:p>
    <w:p w14:paraId="7090EDB1">
      <w:pPr>
        <w:spacing w:line="480" w:lineRule="exact"/>
        <w:ind w:firstLine="720" w:firstLineChars="3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 w:val="24"/>
          <w:highlight w:val="none"/>
        </w:rPr>
        <w:t>（以下简称甲方）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 w:val="24"/>
          <w:highlight w:val="none"/>
        </w:rPr>
        <w:t>采购，在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sz w:val="24"/>
          <w:highlight w:val="none"/>
        </w:rPr>
        <w:t>的监督管理下，由</w:t>
      </w:r>
      <w:r>
        <w:rPr>
          <w:rFonts w:hint="eastAsia" w:ascii="宋体" w:hAnsi="宋体" w:cs="宋体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 w:cs="宋体"/>
          <w:sz w:val="24"/>
          <w:highlight w:val="none"/>
        </w:rPr>
        <w:t>组织采购，选定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18941731">
      <w:pPr>
        <w:spacing w:line="480" w:lineRule="exact"/>
        <w:jc w:val="left"/>
        <w:outlineLvl w:val="1"/>
        <w:rPr>
          <w:rFonts w:hint="eastAsia" w:ascii="宋体" w:hAnsi="宋体" w:cs="宋体"/>
          <w:b/>
          <w:sz w:val="24"/>
          <w:highlight w:val="none"/>
        </w:rPr>
      </w:pPr>
      <w:bookmarkStart w:id="1" w:name="_Toc13211"/>
      <w:bookmarkStart w:id="2" w:name="_Toc230358075"/>
      <w:r>
        <w:rPr>
          <w:rFonts w:hint="eastAsia" w:ascii="宋体" w:hAnsi="宋体" w:cs="宋体"/>
          <w:b/>
          <w:sz w:val="24"/>
          <w:highlight w:val="none"/>
        </w:rPr>
        <w:t>一、合同内容</w:t>
      </w:r>
      <w:bookmarkEnd w:id="1"/>
      <w:bookmarkEnd w:id="2"/>
    </w:p>
    <w:p w14:paraId="2D67644A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099A4372">
      <w:pPr>
        <w:spacing w:line="480" w:lineRule="exact"/>
        <w:jc w:val="left"/>
        <w:outlineLvl w:val="1"/>
        <w:rPr>
          <w:rFonts w:hint="eastAsia" w:ascii="宋体" w:hAnsi="宋体" w:cs="宋体"/>
          <w:b/>
          <w:sz w:val="24"/>
          <w:highlight w:val="none"/>
        </w:rPr>
      </w:pPr>
      <w:bookmarkStart w:id="3" w:name="_Toc230358076"/>
      <w:bookmarkStart w:id="4" w:name="_Toc30344"/>
      <w:r>
        <w:rPr>
          <w:rFonts w:hint="eastAsia" w:ascii="宋体" w:hAnsi="宋体" w:cs="宋体"/>
          <w:b/>
          <w:sz w:val="24"/>
          <w:highlight w:val="none"/>
        </w:rPr>
        <w:t>二、合同价格</w:t>
      </w:r>
      <w:bookmarkEnd w:id="3"/>
      <w:bookmarkEnd w:id="4"/>
    </w:p>
    <w:p w14:paraId="0360794B">
      <w:pPr>
        <w:spacing w:line="500" w:lineRule="exact"/>
        <w:ind w:left="420" w:left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合同总价：</w:t>
      </w:r>
      <w:r>
        <w:rPr>
          <w:rFonts w:hint="eastAsia" w:ascii="宋体" w:hAnsi="宋体"/>
          <w:sz w:val="24"/>
          <w:highlight w:val="none"/>
          <w:u w:val="single"/>
        </w:rPr>
        <w:t>人民币       元整（¥         元）</w:t>
      </w:r>
    </w:p>
    <w:p w14:paraId="33C8A462">
      <w:pPr>
        <w:spacing w:line="500" w:lineRule="exact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说明：</w:t>
      </w:r>
    </w:p>
    <w:p w14:paraId="0665309D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Style w:val="18"/>
          <w:rFonts w:hint="eastAsia"/>
          <w:sz w:val="24"/>
          <w:highlight w:val="none"/>
        </w:rPr>
      </w:pPr>
      <w:r>
        <w:rPr>
          <w:rStyle w:val="18"/>
          <w:sz w:val="24"/>
          <w:highlight w:val="none"/>
        </w:rPr>
        <w:t>合同总价包含项目报价、其他费用及应缴纳的全部税款等费用。</w:t>
      </w:r>
    </w:p>
    <w:p w14:paraId="02169D0B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合同总价一次包死，不受市场价格变化的影响，并作为结算的唯一依据。</w:t>
      </w:r>
    </w:p>
    <w:p w14:paraId="5699AAEA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 w14:paraId="0672EBD3">
      <w:pPr>
        <w:pStyle w:val="22"/>
        <w:spacing w:line="440" w:lineRule="exact"/>
        <w:ind w:firstLine="480" w:firstLineChars="200"/>
        <w:rPr>
          <w:rFonts w:ascii="宋体" w:hAnsi="宋体" w:eastAsia="宋体" w:cs="仿宋_GB2312"/>
          <w:sz w:val="24"/>
          <w:szCs w:val="24"/>
          <w:highlight w:val="none"/>
          <w:lang w:eastAsia="zh-CN"/>
        </w:rPr>
      </w:pPr>
      <w:bookmarkStart w:id="5" w:name="_Toc230358078"/>
      <w:bookmarkStart w:id="6" w:name="_Toc7184"/>
      <w:r>
        <w:rPr>
          <w:rFonts w:ascii="宋体" w:hAnsi="宋体" w:eastAsia="宋体" w:cs="仿宋_GB2312"/>
          <w:sz w:val="24"/>
          <w:szCs w:val="24"/>
          <w:highlight w:val="none"/>
        </w:rPr>
        <w:t>付款条件说明</w:t>
      </w:r>
      <w:r>
        <w:rPr>
          <w:rFonts w:ascii="宋体" w:hAnsi="宋体" w:eastAsia="宋体" w:cs="仿宋_GB2312"/>
          <w:sz w:val="24"/>
          <w:szCs w:val="24"/>
          <w:highlight w:val="none"/>
          <w:lang w:eastAsia="zh-CN"/>
        </w:rPr>
        <w:t>1</w:t>
      </w:r>
      <w:r>
        <w:rPr>
          <w:rFonts w:ascii="宋体" w:hAnsi="宋体" w:eastAsia="宋体" w:cs="仿宋_GB2312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合同签订后 ，达到付款条件起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val="en-US" w:eastAsia="zh-CN"/>
        </w:rPr>
        <w:t>10个工作日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内，支付合同总金额的 40.00%。</w:t>
      </w:r>
    </w:p>
    <w:p w14:paraId="6EE41AFE">
      <w:pPr>
        <w:pStyle w:val="22"/>
        <w:spacing w:line="440" w:lineRule="exact"/>
        <w:ind w:firstLine="480" w:firstLineChars="200"/>
        <w:rPr>
          <w:rFonts w:hint="eastAsia" w:ascii="宋体" w:hAnsi="宋体" w:eastAsia="宋体" w:cs="仿宋_GB2312"/>
          <w:sz w:val="24"/>
          <w:szCs w:val="24"/>
          <w:highlight w:val="none"/>
        </w:rPr>
      </w:pPr>
      <w:r>
        <w:rPr>
          <w:rFonts w:ascii="宋体" w:hAnsi="宋体" w:eastAsia="宋体" w:cs="仿宋_GB2312"/>
          <w:sz w:val="24"/>
          <w:szCs w:val="24"/>
          <w:highlight w:val="none"/>
        </w:rPr>
        <w:t>付款条件说明</w:t>
      </w:r>
      <w:r>
        <w:rPr>
          <w:rFonts w:ascii="宋体" w:hAnsi="宋体" w:eastAsia="宋体" w:cs="仿宋_GB2312"/>
          <w:sz w:val="24"/>
          <w:szCs w:val="24"/>
          <w:highlight w:val="none"/>
          <w:lang w:eastAsia="zh-CN"/>
        </w:rPr>
        <w:t>2</w:t>
      </w:r>
      <w:r>
        <w:rPr>
          <w:rFonts w:ascii="宋体" w:hAnsi="宋体" w:eastAsia="宋体" w:cs="仿宋_GB2312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合同签订6个月后 ，达到付款条件起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val="en-US" w:eastAsia="zh-CN"/>
        </w:rPr>
        <w:t>10个工作日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 xml:space="preserve">内，支付合同总金额的 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0.00%。</w:t>
      </w:r>
    </w:p>
    <w:p w14:paraId="2EC4E349">
      <w:pPr>
        <w:pStyle w:val="22"/>
        <w:spacing w:line="440" w:lineRule="exact"/>
        <w:ind w:firstLine="480" w:firstLineChars="200"/>
        <w:rPr>
          <w:rFonts w:ascii="宋体" w:hAnsi="宋体" w:eastAsia="宋体" w:cs="仿宋_GB2312"/>
          <w:sz w:val="24"/>
          <w:szCs w:val="24"/>
          <w:highlight w:val="none"/>
        </w:rPr>
      </w:pPr>
      <w:r>
        <w:rPr>
          <w:rFonts w:ascii="宋体" w:hAnsi="宋体" w:eastAsia="宋体" w:cs="仿宋_GB2312"/>
          <w:sz w:val="24"/>
          <w:szCs w:val="24"/>
          <w:highlight w:val="none"/>
        </w:rPr>
        <w:t>付款条件说明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eastAsia="宋体" w:cs="仿宋_GB2312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合同签订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个月后 ，达到付款条件起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val="en-US" w:eastAsia="zh-CN"/>
        </w:rPr>
        <w:t>10个工作日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内，支付合同总金额的 20.00%。</w:t>
      </w:r>
    </w:p>
    <w:p w14:paraId="61E30F34">
      <w:pPr>
        <w:spacing w:line="480" w:lineRule="exact"/>
        <w:jc w:val="left"/>
        <w:outlineLvl w:val="1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b/>
          <w:sz w:val="24"/>
          <w:highlight w:val="none"/>
        </w:rPr>
        <w:t>四、服务条件</w:t>
      </w:r>
      <w:bookmarkEnd w:id="5"/>
      <w:bookmarkEnd w:id="6"/>
    </w:p>
    <w:p w14:paraId="5064A845">
      <w:pPr>
        <w:spacing w:line="480" w:lineRule="exact"/>
        <w:ind w:firstLine="480" w:firstLineChars="200"/>
        <w:jc w:val="left"/>
        <w:rPr>
          <w:rFonts w:hint="eastAsia"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（一）服务期限：</w:t>
      </w:r>
      <w:r>
        <w:rPr>
          <w:rFonts w:hint="eastAsia" w:ascii="宋体" w:hAnsi="宋体" w:cs="宋体"/>
          <w:bCs/>
          <w:sz w:val="24"/>
          <w:highlight w:val="none"/>
          <w:lang w:val="en-US" w:eastAsia="zh-CN"/>
        </w:rPr>
        <w:t>一年</w:t>
      </w:r>
      <w:r>
        <w:rPr>
          <w:rFonts w:ascii="宋体" w:hAnsi="宋体" w:cs="宋体"/>
          <w:bCs/>
          <w:sz w:val="24"/>
          <w:highlight w:val="none"/>
        </w:rPr>
        <w:t>。</w:t>
      </w:r>
    </w:p>
    <w:p w14:paraId="6E9E8D28">
      <w:pPr>
        <w:spacing w:line="480" w:lineRule="exact"/>
        <w:ind w:firstLine="480" w:firstLineChars="200"/>
        <w:jc w:val="left"/>
        <w:rPr>
          <w:rFonts w:hint="eastAsia" w:ascii="宋体" w:hAnsi="宋体" w:eastAsia="宋体" w:cs="宋体"/>
          <w:bCs/>
          <w:sz w:val="24"/>
          <w:highlight w:val="none"/>
          <w:lang w:eastAsia="zh-CN"/>
        </w:rPr>
      </w:pPr>
      <w:r>
        <w:rPr>
          <w:rFonts w:hint="eastAsia" w:ascii="宋体" w:hAnsi="宋体" w:cs="宋体"/>
          <w:bCs/>
          <w:sz w:val="24"/>
          <w:highlight w:val="none"/>
        </w:rPr>
        <w:t>（二）服务地点：</w:t>
      </w:r>
      <w:r>
        <w:rPr>
          <w:rFonts w:hint="eastAsia" w:ascii="宋体" w:hAnsi="宋体" w:cs="宋体"/>
          <w:bCs/>
          <w:sz w:val="24"/>
          <w:highlight w:val="none"/>
          <w:lang w:val="en-US" w:eastAsia="zh-CN"/>
        </w:rPr>
        <w:t xml:space="preserve">陕西历史博物馆秦汉馆 </w:t>
      </w:r>
      <w:bookmarkStart w:id="17" w:name="_GoBack"/>
      <w:bookmarkEnd w:id="17"/>
    </w:p>
    <w:p w14:paraId="25E9C0A0">
      <w:pPr>
        <w:spacing w:line="480" w:lineRule="exact"/>
        <w:jc w:val="left"/>
        <w:outlineLvl w:val="1"/>
        <w:rPr>
          <w:rFonts w:hint="eastAsia" w:ascii="宋体" w:hAnsi="宋体" w:cs="宋体"/>
          <w:b/>
          <w:sz w:val="24"/>
          <w:highlight w:val="none"/>
        </w:rPr>
      </w:pPr>
      <w:bookmarkStart w:id="7" w:name="_Toc8140"/>
      <w:bookmarkStart w:id="8" w:name="_Toc230358079"/>
      <w:r>
        <w:rPr>
          <w:rFonts w:hint="eastAsia" w:ascii="宋体" w:hAnsi="宋体" w:cs="宋体"/>
          <w:b/>
          <w:sz w:val="24"/>
          <w:highlight w:val="none"/>
        </w:rPr>
        <w:t>五、质量保证</w:t>
      </w:r>
      <w:bookmarkEnd w:id="7"/>
      <w:bookmarkEnd w:id="8"/>
    </w:p>
    <w:p w14:paraId="2B0A96C4">
      <w:pPr>
        <w:tabs>
          <w:tab w:val="left" w:pos="426"/>
          <w:tab w:val="left" w:pos="709"/>
        </w:tabs>
        <w:spacing w:line="480" w:lineRule="exact"/>
        <w:ind w:firstLine="480" w:firstLineChars="200"/>
        <w:jc w:val="left"/>
        <w:rPr>
          <w:rFonts w:hint="eastAsia" w:ascii="宋体" w:hAnsi="宋体" w:cs="宋体"/>
          <w:b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（一）乙方应当保证项目质量完全符合合同规定的要求，并对项目质量问题负责。</w:t>
      </w:r>
    </w:p>
    <w:p w14:paraId="7717BFC9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（二）如因服务质量不明确而对采购人造成损失的，甲方将保留依法索赔的权利。</w:t>
      </w:r>
    </w:p>
    <w:p w14:paraId="030817BF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（三）甲方有权对该项目进行验收，其主要的服务内容及要求达不到标准时，甲方有权依据有关法律索赔。</w:t>
      </w:r>
    </w:p>
    <w:p w14:paraId="5B254542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（四）</w:t>
      </w:r>
      <w:r>
        <w:rPr>
          <w:rFonts w:ascii="宋体" w:hAnsi="宋体" w:cs="宋体"/>
          <w:sz w:val="24"/>
          <w:highlight w:val="none"/>
        </w:rPr>
        <w:t>采购项目执行内容需要调整时，经甲方书面同意后，可以对相应的内容进行调整，并协商确定价格差额计算方法和负担办法。</w:t>
      </w:r>
    </w:p>
    <w:p w14:paraId="42D2D226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bookmarkStart w:id="9" w:name="_Toc230358080"/>
      <w:bookmarkStart w:id="10" w:name="_Toc18640"/>
      <w:r>
        <w:rPr>
          <w:rFonts w:hint="eastAsia" w:ascii="宋体" w:hAnsi="宋体"/>
          <w:b/>
          <w:sz w:val="24"/>
          <w:highlight w:val="none"/>
        </w:rPr>
        <w:t>六、权利与义务</w:t>
      </w:r>
    </w:p>
    <w:p w14:paraId="540CBCA9">
      <w:pPr>
        <w:spacing w:line="360" w:lineRule="auto"/>
        <w:ind w:firstLine="48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（一）甲方的权利与义务</w:t>
      </w:r>
    </w:p>
    <w:p w14:paraId="3AE9FF7F">
      <w:pPr>
        <w:spacing w:line="360" w:lineRule="auto"/>
        <w:ind w:firstLine="48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（二）乙方的权利与义务</w:t>
      </w:r>
    </w:p>
    <w:p w14:paraId="53F0B5CE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七、技术服务</w:t>
      </w:r>
    </w:p>
    <w:p w14:paraId="03FE0C4B"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（一）技术资料</w:t>
      </w:r>
    </w:p>
    <w:p w14:paraId="05AB60EA">
      <w:pPr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（二）服务承诺</w:t>
      </w:r>
    </w:p>
    <w:bookmarkEnd w:id="9"/>
    <w:bookmarkEnd w:id="10"/>
    <w:p w14:paraId="343038A5">
      <w:pPr>
        <w:spacing w:line="480" w:lineRule="exact"/>
        <w:jc w:val="left"/>
        <w:outlineLvl w:val="1"/>
        <w:rPr>
          <w:rFonts w:hint="eastAsia" w:ascii="宋体" w:hAnsi="宋体" w:cs="宋体"/>
          <w:b/>
          <w:sz w:val="24"/>
          <w:highlight w:val="none"/>
        </w:rPr>
      </w:pPr>
      <w:bookmarkStart w:id="11" w:name="_Toc230358081"/>
      <w:bookmarkStart w:id="12" w:name="_Toc1735"/>
      <w:r>
        <w:rPr>
          <w:rFonts w:hint="eastAsia" w:ascii="宋体" w:hAnsi="宋体" w:cs="宋体"/>
          <w:b/>
          <w:sz w:val="24"/>
          <w:highlight w:val="none"/>
        </w:rPr>
        <w:t>八、违约责任</w:t>
      </w:r>
      <w:bookmarkEnd w:id="11"/>
      <w:bookmarkEnd w:id="12"/>
    </w:p>
    <w:p w14:paraId="417C4C97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（一）按《中华人民共和国民法典》中的相关条款执行。</w:t>
      </w:r>
    </w:p>
    <w:p w14:paraId="24C28D3C">
      <w:pPr>
        <w:spacing w:line="48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（二）未按合同要求的提供产品或设备质量不能满足技术要求，采购人有权终止合同，甚至对供方违约行为进行追究。</w:t>
      </w:r>
    </w:p>
    <w:p w14:paraId="2AC20C45">
      <w:pPr>
        <w:spacing w:line="48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（三）如有纠纷，双方友好协商解决，协商不成时可诉讼到甲方所在地人民法院解决。</w:t>
      </w:r>
    </w:p>
    <w:p w14:paraId="46ACAF12">
      <w:pPr>
        <w:spacing w:line="480" w:lineRule="exact"/>
        <w:jc w:val="left"/>
        <w:outlineLvl w:val="1"/>
        <w:rPr>
          <w:rFonts w:hint="eastAsia" w:ascii="宋体" w:hAnsi="宋体" w:cs="宋体"/>
          <w:b/>
          <w:sz w:val="24"/>
          <w:highlight w:val="none"/>
        </w:rPr>
      </w:pPr>
      <w:bookmarkStart w:id="13" w:name="_Toc24778"/>
      <w:bookmarkStart w:id="14" w:name="_Toc230358082"/>
      <w:r>
        <w:rPr>
          <w:rFonts w:hint="eastAsia" w:ascii="宋体" w:hAnsi="宋体" w:cs="宋体"/>
          <w:b/>
          <w:sz w:val="24"/>
          <w:highlight w:val="none"/>
        </w:rPr>
        <w:t>九、验收</w:t>
      </w:r>
      <w:bookmarkEnd w:id="13"/>
      <w:bookmarkEnd w:id="14"/>
    </w:p>
    <w:p w14:paraId="2830C9BA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验收须以合同、磋商文件、响应文件、澄清及国家相应的标准、规范等为依据。</w:t>
      </w:r>
    </w:p>
    <w:p w14:paraId="5ACCB7AA">
      <w:pPr>
        <w:spacing w:line="480" w:lineRule="exact"/>
        <w:jc w:val="left"/>
        <w:outlineLvl w:val="1"/>
        <w:rPr>
          <w:rFonts w:hint="eastAsia" w:ascii="宋体" w:hAnsi="宋体" w:cs="宋体"/>
          <w:b/>
          <w:sz w:val="24"/>
          <w:highlight w:val="none"/>
        </w:rPr>
      </w:pPr>
      <w:bookmarkStart w:id="15" w:name="_Toc6717"/>
      <w:bookmarkStart w:id="16" w:name="_Toc230358083"/>
      <w:r>
        <w:rPr>
          <w:rFonts w:hint="eastAsia" w:ascii="宋体" w:hAnsi="宋体" w:cs="宋体"/>
          <w:b/>
          <w:sz w:val="24"/>
          <w:highlight w:val="none"/>
        </w:rPr>
        <w:t>十、其他事项</w:t>
      </w:r>
      <w:bookmarkEnd w:id="15"/>
      <w:bookmarkEnd w:id="16"/>
    </w:p>
    <w:p w14:paraId="131688B9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（一）在合同的履行期间以及履行期后，采购人可以随时检查项目的执行情况，对采购标准、采购内容进行调查核实，并对发现的问题进行处理。</w:t>
      </w:r>
    </w:p>
    <w:p w14:paraId="13BAE809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（二）</w:t>
      </w:r>
      <w:r>
        <w:rPr>
          <w:rFonts w:hint="eastAsia" w:ascii="宋体" w:hAnsi="宋体"/>
          <w:sz w:val="24"/>
          <w:highlight w:val="none"/>
        </w:rPr>
        <w:t>本合同一式</w:t>
      </w:r>
      <w:r>
        <w:rPr>
          <w:rFonts w:hint="eastAsia" w:ascii="宋体" w:hAnsi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highlight w:val="none"/>
        </w:rPr>
        <w:t>份，甲方</w:t>
      </w:r>
      <w:r>
        <w:rPr>
          <w:rFonts w:hint="eastAsia" w:ascii="宋体" w:hAnsi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highlight w:val="none"/>
        </w:rPr>
        <w:t>份，乙方</w:t>
      </w:r>
      <w:r>
        <w:rPr>
          <w:rFonts w:hint="eastAsia" w:ascii="宋体" w:hAnsi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highlight w:val="none"/>
        </w:rPr>
        <w:t>份，采购</w:t>
      </w:r>
      <w:r>
        <w:rPr>
          <w:rFonts w:ascii="宋体" w:hAnsi="宋体"/>
          <w:sz w:val="24"/>
          <w:highlight w:val="none"/>
        </w:rPr>
        <w:t>代理机构</w:t>
      </w:r>
      <w:r>
        <w:rPr>
          <w:rFonts w:hint="eastAsia" w:ascii="宋体" w:hAnsi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highlight w:val="none"/>
        </w:rPr>
        <w:t>份，甲乙双方法定代表人或授权代表签字并盖章后生效。</w:t>
      </w:r>
    </w:p>
    <w:p w14:paraId="0CFB3FE3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（三）</w:t>
      </w:r>
      <w:r>
        <w:rPr>
          <w:rFonts w:hint="eastAsia" w:ascii="宋体" w:hAnsi="宋体" w:cs="宋体"/>
          <w:bCs/>
          <w:sz w:val="24"/>
          <w:highlight w:val="none"/>
        </w:rPr>
        <w:t>磋商文件、响应文件也是合同的组成部分，合同中未约定的以磋商文件、响应文件为准。</w:t>
      </w:r>
    </w:p>
    <w:p w14:paraId="1BA780D5">
      <w:pPr>
        <w:spacing w:line="480" w:lineRule="exact"/>
        <w:ind w:firstLine="600" w:firstLineChars="250"/>
        <w:jc w:val="left"/>
        <w:rPr>
          <w:rFonts w:hint="eastAsia" w:ascii="宋体" w:hAnsi="宋体" w:cs="宋体"/>
          <w:sz w:val="24"/>
          <w:highlight w:val="none"/>
        </w:rPr>
      </w:pPr>
    </w:p>
    <w:p w14:paraId="301159C7">
      <w:pPr>
        <w:spacing w:line="480" w:lineRule="exact"/>
        <w:ind w:firstLine="600" w:firstLineChars="25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（以下无正文，为合同签章页）</w:t>
      </w:r>
    </w:p>
    <w:p w14:paraId="005EF33E">
      <w:pPr>
        <w:spacing w:line="480" w:lineRule="exact"/>
        <w:ind w:firstLine="600" w:firstLineChars="250"/>
        <w:jc w:val="left"/>
        <w:rPr>
          <w:rFonts w:hint="eastAsia" w:ascii="宋体" w:hAnsi="宋体" w:cs="宋体"/>
          <w:sz w:val="24"/>
          <w:highlight w:val="none"/>
        </w:rPr>
      </w:pPr>
    </w:p>
    <w:p w14:paraId="2FA2E843">
      <w:pPr>
        <w:spacing w:line="480" w:lineRule="exact"/>
        <w:ind w:firstLine="600" w:firstLineChars="25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合同签订地点：   </w:t>
      </w:r>
    </w:p>
    <w:p w14:paraId="14E4D80D">
      <w:pPr>
        <w:spacing w:line="480" w:lineRule="exact"/>
        <w:ind w:firstLine="600" w:firstLineChars="25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合同签订时间：    年   月    日</w:t>
      </w:r>
    </w:p>
    <w:p w14:paraId="51B73EAB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</w:p>
    <w:p w14:paraId="69BEB9AC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</w:p>
    <w:p w14:paraId="5F660061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甲    方                           乙    方</w:t>
      </w:r>
    </w:p>
    <w:p w14:paraId="23316F5E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单位名称：         </w:t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 xml:space="preserve">   单位名称：</w:t>
      </w:r>
    </w:p>
    <w:p w14:paraId="6325BBFF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地   址：  </w:t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 xml:space="preserve">       </w:t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>地    址：</w:t>
      </w:r>
    </w:p>
    <w:p w14:paraId="7C77A7C9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</w:p>
    <w:p w14:paraId="3F9E522F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法定代表人：                       法定代表人：</w:t>
      </w:r>
    </w:p>
    <w:p w14:paraId="559C7C52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</w:p>
    <w:p w14:paraId="6105ACA8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联系电话：               </w:t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 xml:space="preserve">   联系电话：</w:t>
      </w:r>
    </w:p>
    <w:p w14:paraId="01001409">
      <w:pPr>
        <w:spacing w:line="480" w:lineRule="exact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开 户 行：         </w:t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ab/>
      </w:r>
      <w:r>
        <w:rPr>
          <w:rFonts w:hint="eastAsia" w:ascii="宋体" w:hAnsi="宋体" w:cs="宋体"/>
          <w:sz w:val="24"/>
          <w:highlight w:val="none"/>
        </w:rPr>
        <w:t xml:space="preserve">   开 户 行：</w:t>
      </w:r>
    </w:p>
    <w:p w14:paraId="4AAE52FB">
      <w:pPr>
        <w:pStyle w:val="22"/>
        <w:spacing w:line="480" w:lineRule="exact"/>
        <w:rPr>
          <w:rFonts w:ascii="宋体" w:hAnsi="宋体" w:eastAsia="宋体"/>
          <w:sz w:val="24"/>
          <w:szCs w:val="24"/>
          <w:highlight w:val="none"/>
          <w:lang w:eastAsia="zh-CN"/>
        </w:rPr>
      </w:pPr>
      <w:r>
        <w:rPr>
          <w:rFonts w:ascii="宋体" w:hAnsi="宋体" w:cs="宋体"/>
          <w:sz w:val="24"/>
          <w:szCs w:val="24"/>
          <w:highlight w:val="none"/>
        </w:rPr>
        <w:t xml:space="preserve">账    号：             </w:t>
      </w:r>
      <w:r>
        <w:rPr>
          <w:rFonts w:ascii="宋体" w:hAnsi="宋体" w:cs="宋体"/>
          <w:sz w:val="24"/>
          <w:szCs w:val="24"/>
          <w:highlight w:val="none"/>
        </w:rPr>
        <w:tab/>
      </w:r>
      <w:r>
        <w:rPr>
          <w:rFonts w:ascii="宋体" w:hAnsi="宋体" w:cs="宋体"/>
          <w:sz w:val="24"/>
          <w:szCs w:val="24"/>
          <w:highlight w:val="none"/>
        </w:rPr>
        <w:tab/>
      </w:r>
      <w:r>
        <w:rPr>
          <w:rFonts w:ascii="宋体" w:hAnsi="宋体" w:cs="宋体"/>
          <w:sz w:val="24"/>
          <w:szCs w:val="24"/>
          <w:highlight w:val="none"/>
        </w:rPr>
        <w:tab/>
      </w:r>
      <w:r>
        <w:rPr>
          <w:rFonts w:ascii="宋体" w:hAnsi="宋体" w:cs="宋体"/>
          <w:sz w:val="24"/>
          <w:szCs w:val="24"/>
          <w:highlight w:val="none"/>
        </w:rPr>
        <w:t xml:space="preserve"> </w:t>
      </w:r>
      <w:r>
        <w:rPr>
          <w:rFonts w:ascii="宋体" w:hAnsi="宋体" w:cs="宋体"/>
          <w:sz w:val="24"/>
          <w:szCs w:val="24"/>
          <w:highlight w:val="none"/>
          <w:lang w:eastAsia="zh-CN"/>
        </w:rPr>
        <w:t xml:space="preserve">  </w:t>
      </w:r>
      <w:r>
        <w:rPr>
          <w:rFonts w:ascii="宋体" w:hAnsi="宋体" w:cs="宋体"/>
          <w:sz w:val="24"/>
          <w:szCs w:val="24"/>
          <w:highlight w:val="none"/>
        </w:rPr>
        <w:t>账    号：</w:t>
      </w:r>
    </w:p>
    <w:p w14:paraId="04DB05F4">
      <w:pPr>
        <w:rPr>
          <w:rFonts w:hint="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E87F8"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2405380</wp:posOffset>
              </wp:positionH>
              <wp:positionV relativeFrom="paragraph">
                <wp:posOffset>5080</wp:posOffset>
              </wp:positionV>
              <wp:extent cx="707390" cy="2286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571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F1198E">
                          <w:pPr>
                            <w:pStyle w:val="9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9.4pt;margin-top:0.4pt;height:18pt;width:55.7pt;mso-position-horizontal-relative:margin;z-index:251659264;mso-width-relative:page;mso-height-relative:page;" filled="f" stroked="f" coordsize="21600,21600" o:gfxdata="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e61XV1gAAAAcBAAAPAAAAAAAAAAEAIAAAACIAAABkcnMvZG93bnJldi54bWxQSwEC&#10;FAAUAAAACACHTuJAcCUhpi8CAABVBAAADgAAAAAAAAABACAAAAAl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7F1198E">
                    <w:pPr>
                      <w:pStyle w:val="9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4167E"/>
    <w:rsid w:val="00066E46"/>
    <w:rsid w:val="000825C0"/>
    <w:rsid w:val="00094452"/>
    <w:rsid w:val="000A1473"/>
    <w:rsid w:val="000F12A2"/>
    <w:rsid w:val="001013AF"/>
    <w:rsid w:val="00107CE4"/>
    <w:rsid w:val="001471E7"/>
    <w:rsid w:val="00161A1C"/>
    <w:rsid w:val="0016578B"/>
    <w:rsid w:val="001C7935"/>
    <w:rsid w:val="001F0B66"/>
    <w:rsid w:val="00200E75"/>
    <w:rsid w:val="00204C7F"/>
    <w:rsid w:val="00210B05"/>
    <w:rsid w:val="002232BA"/>
    <w:rsid w:val="00227CAE"/>
    <w:rsid w:val="00274D60"/>
    <w:rsid w:val="002908B6"/>
    <w:rsid w:val="002F3202"/>
    <w:rsid w:val="00320906"/>
    <w:rsid w:val="0032631A"/>
    <w:rsid w:val="00342257"/>
    <w:rsid w:val="00344079"/>
    <w:rsid w:val="00350EE1"/>
    <w:rsid w:val="00365FF1"/>
    <w:rsid w:val="00374710"/>
    <w:rsid w:val="0039330B"/>
    <w:rsid w:val="003C5D40"/>
    <w:rsid w:val="003D3FEA"/>
    <w:rsid w:val="003E21CE"/>
    <w:rsid w:val="003E73AF"/>
    <w:rsid w:val="004044A8"/>
    <w:rsid w:val="00421065"/>
    <w:rsid w:val="004C4B75"/>
    <w:rsid w:val="005166D6"/>
    <w:rsid w:val="00530224"/>
    <w:rsid w:val="005458DB"/>
    <w:rsid w:val="00562148"/>
    <w:rsid w:val="00570851"/>
    <w:rsid w:val="005E0D9C"/>
    <w:rsid w:val="005E7CC5"/>
    <w:rsid w:val="005F0704"/>
    <w:rsid w:val="00627C35"/>
    <w:rsid w:val="00631E46"/>
    <w:rsid w:val="006D5B2F"/>
    <w:rsid w:val="006E0BBE"/>
    <w:rsid w:val="00725981"/>
    <w:rsid w:val="00762E37"/>
    <w:rsid w:val="007B581A"/>
    <w:rsid w:val="007B6EFC"/>
    <w:rsid w:val="00821626"/>
    <w:rsid w:val="008344FE"/>
    <w:rsid w:val="00877ED3"/>
    <w:rsid w:val="008913D2"/>
    <w:rsid w:val="008B2233"/>
    <w:rsid w:val="008D2253"/>
    <w:rsid w:val="008F224F"/>
    <w:rsid w:val="009010EC"/>
    <w:rsid w:val="00931FAE"/>
    <w:rsid w:val="0093765F"/>
    <w:rsid w:val="00945871"/>
    <w:rsid w:val="009768A9"/>
    <w:rsid w:val="00980796"/>
    <w:rsid w:val="00982DC1"/>
    <w:rsid w:val="00993331"/>
    <w:rsid w:val="00995987"/>
    <w:rsid w:val="009E5B96"/>
    <w:rsid w:val="00A564C2"/>
    <w:rsid w:val="00A61478"/>
    <w:rsid w:val="00AA1F28"/>
    <w:rsid w:val="00AB2262"/>
    <w:rsid w:val="00AC7C61"/>
    <w:rsid w:val="00AD13EC"/>
    <w:rsid w:val="00B02A7B"/>
    <w:rsid w:val="00B058C2"/>
    <w:rsid w:val="00B551E6"/>
    <w:rsid w:val="00B6155A"/>
    <w:rsid w:val="00B64365"/>
    <w:rsid w:val="00B71D28"/>
    <w:rsid w:val="00B952BD"/>
    <w:rsid w:val="00BA3D32"/>
    <w:rsid w:val="00BB472B"/>
    <w:rsid w:val="00BB4992"/>
    <w:rsid w:val="00BD0A90"/>
    <w:rsid w:val="00BE2DD5"/>
    <w:rsid w:val="00BF1323"/>
    <w:rsid w:val="00C05205"/>
    <w:rsid w:val="00CD7701"/>
    <w:rsid w:val="00CF5ABB"/>
    <w:rsid w:val="00D47C1A"/>
    <w:rsid w:val="00DA1D65"/>
    <w:rsid w:val="00DA1F73"/>
    <w:rsid w:val="00E041C0"/>
    <w:rsid w:val="00E20C21"/>
    <w:rsid w:val="00E2327F"/>
    <w:rsid w:val="00E647EE"/>
    <w:rsid w:val="00E6633D"/>
    <w:rsid w:val="00E709ED"/>
    <w:rsid w:val="00E73E09"/>
    <w:rsid w:val="00EA6116"/>
    <w:rsid w:val="00F001F9"/>
    <w:rsid w:val="00F2038F"/>
    <w:rsid w:val="00F21846"/>
    <w:rsid w:val="00F64DC0"/>
    <w:rsid w:val="00F80151"/>
    <w:rsid w:val="00F9226E"/>
    <w:rsid w:val="00FA29B8"/>
    <w:rsid w:val="00FE5BD3"/>
    <w:rsid w:val="00FF0931"/>
    <w:rsid w:val="0F5B3722"/>
    <w:rsid w:val="48E72569"/>
    <w:rsid w:val="7C8D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te Heading"/>
    <w:basedOn w:val="1"/>
    <w:next w:val="1"/>
    <w:link w:val="21"/>
    <w:autoRedefine/>
    <w:qFormat/>
    <w:uiPriority w:val="99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paragraph" w:styleId="6">
    <w:name w:val="Normal Indent"/>
    <w:basedOn w:val="1"/>
    <w:link w:val="20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7">
    <w:name w:val="Body Text"/>
    <w:basedOn w:val="1"/>
    <w:next w:val="1"/>
    <w:link w:val="17"/>
    <w:qFormat/>
    <w:uiPriority w:val="0"/>
    <w:rPr>
      <w:color w:val="993300"/>
      <w:sz w:val="24"/>
    </w:rPr>
  </w:style>
  <w:style w:type="paragraph" w:styleId="8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styleId="9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0">
    <w:name w:val="header"/>
    <w:basedOn w:val="1"/>
    <w:link w:val="15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Body Text First Indent"/>
    <w:basedOn w:val="7"/>
    <w:unhideWhenUsed/>
    <w:qFormat/>
    <w:uiPriority w:val="99"/>
    <w:pPr>
      <w:ind w:firstLine="420" w:firstLineChars="100"/>
    </w:pPr>
  </w:style>
  <w:style w:type="character" w:customStyle="1" w:styleId="14">
    <w:name w:val="标题 1 字符"/>
    <w:link w:val="2"/>
    <w:qFormat/>
    <w:uiPriority w:val="0"/>
    <w:rPr>
      <w:b/>
      <w:bCs/>
      <w:kern w:val="44"/>
      <w:sz w:val="30"/>
      <w:szCs w:val="44"/>
    </w:rPr>
  </w:style>
  <w:style w:type="character" w:customStyle="1" w:styleId="15">
    <w:name w:val="页眉 字符"/>
    <w:basedOn w:val="13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页脚 字符"/>
    <w:basedOn w:val="13"/>
    <w:link w:val="9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正文文本 字符"/>
    <w:link w:val="7"/>
    <w:qFormat/>
    <w:uiPriority w:val="0"/>
    <w:rPr>
      <w:rFonts w:ascii="Times New Roman" w:hAnsi="Times New Roman" w:eastAsia="宋体" w:cs="Times New Roman"/>
      <w:color w:val="993300"/>
      <w:kern w:val="2"/>
      <w:sz w:val="24"/>
      <w:szCs w:val="24"/>
    </w:rPr>
  </w:style>
  <w:style w:type="character" w:customStyle="1" w:styleId="18">
    <w:name w:val="NormalCharacter"/>
    <w:link w:val="19"/>
    <w:qFormat/>
    <w:uiPriority w:val="99"/>
    <w:rPr>
      <w:rFonts w:ascii="宋体" w:hAnsi="宋体"/>
      <w:kern w:val="2"/>
      <w:sz w:val="21"/>
      <w:szCs w:val="24"/>
    </w:rPr>
  </w:style>
  <w:style w:type="paragraph" w:customStyle="1" w:styleId="19">
    <w:name w:val="UserStyle_64"/>
    <w:basedOn w:val="1"/>
    <w:link w:val="18"/>
    <w:qFormat/>
    <w:uiPriority w:val="99"/>
    <w:pPr>
      <w:widowControl/>
      <w:spacing w:line="240" w:lineRule="auto"/>
      <w:textAlignment w:val="baseline"/>
    </w:pPr>
    <w:rPr>
      <w:rFonts w:ascii="宋体" w:hAnsi="宋体" w:eastAsiaTheme="minorEastAsia" w:cstheme="minorBidi"/>
    </w:rPr>
  </w:style>
  <w:style w:type="character" w:customStyle="1" w:styleId="20">
    <w:name w:val="正文缩进 字符"/>
    <w:link w:val="6"/>
    <w:qFormat/>
    <w:uiPriority w:val="0"/>
    <w:rPr>
      <w:rFonts w:ascii="楷体_GB2312" w:hAnsi="Times New Roman" w:eastAsia="楷体_GB2312" w:cs="Times New Roman"/>
      <w:kern w:val="2"/>
      <w:sz w:val="32"/>
      <w:szCs w:val="32"/>
    </w:rPr>
  </w:style>
  <w:style w:type="character" w:customStyle="1" w:styleId="21">
    <w:name w:val="注释标题 字符"/>
    <w:basedOn w:val="13"/>
    <w:link w:val="5"/>
    <w:qFormat/>
    <w:uiPriority w:val="99"/>
    <w:rPr>
      <w:rFonts w:eastAsia="宋体"/>
      <w:kern w:val="2"/>
      <w:sz w:val="21"/>
    </w:rPr>
  </w:style>
  <w:style w:type="paragraph" w:customStyle="1" w:styleId="22">
    <w:name w:val="null3"/>
    <w:autoRedefine/>
    <w:hidden/>
    <w:qFormat/>
    <w:uiPriority w:val="0"/>
    <w:pPr>
      <w:spacing w:line="360" w:lineRule="auto"/>
      <w:jc w:val="center"/>
    </w:pPr>
    <w:rPr>
      <w:rFonts w:ascii="宋体" w:hAnsi="宋体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1100</Words>
  <Characters>1119</Characters>
  <Lines>44</Lines>
  <Paragraphs>54</Paragraphs>
  <TotalTime>0</TotalTime>
  <ScaleCrop>false</ScaleCrop>
  <LinksUpToDate>false</LinksUpToDate>
  <CharactersWithSpaces>1378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2023-07-20T13:06:00Z</dcterms:created>
  <dc:creator>PC</dc:creator>
  <cp:lastModifiedBy>～果Fruit%Tiramisu</cp:lastModifiedBy>
  <dcterms:modified xsi:type="dcterms:W3CDTF">2026-06-16T09:05:41Z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695C8C9B60D54488ABCFA2B045845093_12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