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版本号：HYX-ZFCG-2026-汉011号20260506001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勉县医院室外连廊及非机动车棚附属配套工程采购项目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HYX-ZFCG-2026-汉011号</w:t>
      </w:r>
      <w:r>
        <w:br/>
      </w:r>
      <w:r>
        <w:br/>
      </w:r>
      <w:r>
        <w:br/>
      </w:r>
    </w:p>
    <w:p>
      <w:pPr>
        <w:pStyle w:val="null3"/>
        <w:jc w:val="center"/>
        <w:outlineLvl w:val="2"/>
      </w:pPr>
      <w:r>
        <w:rPr>
          <w:rFonts w:ascii="仿宋_GB2312" w:hAnsi="仿宋_GB2312" w:cs="仿宋_GB2312" w:eastAsia="仿宋_GB2312"/>
          <w:sz w:val="28"/>
          <w:b/>
        </w:rPr>
        <w:t>陕西省勉县医院</w:t>
      </w:r>
    </w:p>
    <w:p>
      <w:pPr>
        <w:pStyle w:val="null3"/>
        <w:jc w:val="center"/>
        <w:outlineLvl w:val="2"/>
      </w:pPr>
      <w:r>
        <w:rPr>
          <w:rFonts w:ascii="仿宋_GB2312" w:hAnsi="仿宋_GB2312" w:cs="仿宋_GB2312" w:eastAsia="仿宋_GB2312"/>
          <w:sz w:val="28"/>
          <w:b/>
        </w:rPr>
        <w:t>华优信项目管理有限公司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华优信项目管理有限公司</w:t>
      </w:r>
      <w:r>
        <w:rPr>
          <w:rFonts w:ascii="仿宋_GB2312" w:hAnsi="仿宋_GB2312" w:cs="仿宋_GB2312" w:eastAsia="仿宋_GB2312"/>
        </w:rPr>
        <w:t>（以下简称“代理机构”）受</w:t>
      </w:r>
      <w:r>
        <w:rPr>
          <w:rFonts w:ascii="仿宋_GB2312" w:hAnsi="仿宋_GB2312" w:cs="仿宋_GB2312" w:eastAsia="仿宋_GB2312"/>
        </w:rPr>
        <w:t>陕西省勉县医院</w:t>
      </w:r>
      <w:r>
        <w:rPr>
          <w:rFonts w:ascii="仿宋_GB2312" w:hAnsi="仿宋_GB2312" w:cs="仿宋_GB2312" w:eastAsia="仿宋_GB2312"/>
        </w:rPr>
        <w:t>委托，拟对</w:t>
      </w:r>
      <w:r>
        <w:rPr>
          <w:rFonts w:ascii="仿宋_GB2312" w:hAnsi="仿宋_GB2312" w:cs="仿宋_GB2312" w:eastAsia="仿宋_GB2312"/>
        </w:rPr>
        <w:t>勉县医院室外连廊及非机动车棚附属配套工程采购项目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HYX-ZFCG-2026-汉011号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勉县医院室外连廊及非机动车棚附属配套工程采购项目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本工程为陕西省勉县医院室外连廊及非机动车棚附属配套工程，主要建设非机动车棚，保障非机动车规范安全停放，补齐并完善院区配套服务功能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采购包1（陕西省勉县医院室外连廊及非机动车棚附属配套工程采购项目）：属于专门面向中小企业采购。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p>
      <w:pPr>
        <w:pStyle w:val="null3"/>
      </w:pPr>
      <w:r>
        <w:rPr>
          <w:rFonts w:ascii="仿宋_GB2312" w:hAnsi="仿宋_GB2312" w:cs="仿宋_GB2312" w:eastAsia="仿宋_GB2312"/>
        </w:rPr>
        <w:t>3、供应商资质要求：供应商应具备建设行政部门核发的建筑工程施工总承包三级（含三级）以上资质，具有有效的安全生产许可证；供应商资质信息应在“陕西省住房和城乡建设厅网（http://js.shaanxi.gov.cn/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4、拟派项目负责人要求：拟派项目负责人须具备建筑工程专业注册建造师二级（含二级）及以上执业资格和安全生产考核合格B证，无在建项目，且具有建筑工程相关专业工程师及以上执业资格；拟派项目负责人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5、拟派技术负责人要求：拟派技术负责人须建设行政主管部门颁发的安全生产考核合格B证（建安B证），无在建项目，且具有建筑工程相关专业工程师及以上执业资格；拟派技术负责人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6、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7、是否面向中、小企业：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8、其他要求：本项目不接受联合体投标，供应商需提供非联合体书面声明。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陕西省勉县医院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陕西省汉中市勉县定军山镇绿缘路西段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陕西省勉县医院经办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3211068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陕西省西安市新城区陕西省西安市新城区长缨西路1号1幢32201、32212室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15349132536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代理服务费收费标准：成交供应商应依据成交金额向采购代理机构交纳中标服务费，交费金 额参照国家计委颁布的《招标代理服务收费管理暂行办法》（计价格[2002]1980号）及发改办价格[2003]857号文件的规定标准收取；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陕西省勉县医院</w:t>
      </w:r>
      <w:r>
        <w:rPr>
          <w:rFonts w:ascii="仿宋_GB2312" w:hAnsi="仿宋_GB2312" w:cs="仿宋_GB2312" w:eastAsia="仿宋_GB2312"/>
        </w:rPr>
        <w:t>和</w:t>
      </w:r>
      <w:r>
        <w:rPr>
          <w:rFonts w:ascii="仿宋_GB2312" w:hAnsi="仿宋_GB2312" w:cs="仿宋_GB2312" w:eastAsia="仿宋_GB2312"/>
        </w:rPr>
        <w:t>华优信项目管理有限公司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陕西省勉县医院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陕西省勉县医院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联系人：万先生、杨女士</w:t>
      </w:r>
    </w:p>
    <w:p>
      <w:pPr>
        <w:pStyle w:val="null3"/>
      </w:pPr>
      <w:r>
        <w:rPr>
          <w:rFonts w:ascii="仿宋_GB2312" w:hAnsi="仿宋_GB2312" w:cs="仿宋_GB2312" w:eastAsia="仿宋_GB2312"/>
        </w:rPr>
        <w:t>联系电话：0916-8880708</w:t>
      </w:r>
    </w:p>
    <w:p>
      <w:pPr>
        <w:pStyle w:val="null3"/>
      </w:pPr>
      <w:r>
        <w:rPr>
          <w:rFonts w:ascii="仿宋_GB2312" w:hAnsi="仿宋_GB2312" w:cs="仿宋_GB2312" w:eastAsia="仿宋_GB2312"/>
        </w:rPr>
        <w:t>地址：陕西省汉中市汉台区七里街道办事处光辉社区C1区1幢A2层16号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820,000.00</w:t>
      </w:r>
    </w:p>
    <w:p>
      <w:pPr>
        <w:pStyle w:val="null3"/>
      </w:pPr>
      <w:r>
        <w:rPr>
          <w:rFonts w:ascii="仿宋_GB2312" w:hAnsi="仿宋_GB2312" w:cs="仿宋_GB2312" w:eastAsia="仿宋_GB2312"/>
        </w:rPr>
        <w:t>采购包最高限价（元）: 769,733.80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陕西省勉县医院室外连廊及非机动车棚附属配套工程调剂</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标的名称：陕西省勉县医院室外连廊及非机动车棚附属配套工程调剂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1、工程建设地点：陕西省勉县医院院内</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2、工程建设内容：本项目工程量清单、施工图纸及磋商文件所示范围全部内容及相关配套附属工程。</w:t>
            </w:r>
          </w:p>
          <w:p>
            <w:pPr>
              <w:pStyle w:val="null3"/>
              <w:jc w:val="left"/>
            </w:pPr>
            <w:r>
              <w:rPr>
                <w:rFonts w:ascii="仿宋_GB2312" w:hAnsi="仿宋_GB2312" w:cs="仿宋_GB2312" w:eastAsia="仿宋_GB2312"/>
                <w:sz w:val="21"/>
                <w:color w:val="000000"/>
              </w:rPr>
              <w:t>3、工期：</w:t>
            </w:r>
            <w:r>
              <w:rPr>
                <w:rFonts w:ascii="仿宋_GB2312" w:hAnsi="仿宋_GB2312" w:cs="仿宋_GB2312" w:eastAsia="仿宋_GB2312"/>
                <w:sz w:val="21"/>
                <w:color w:val="000000"/>
              </w:rPr>
              <w:t>90</w:t>
            </w:r>
            <w:r>
              <w:rPr>
                <w:rFonts w:ascii="仿宋_GB2312" w:hAnsi="仿宋_GB2312" w:cs="仿宋_GB2312" w:eastAsia="仿宋_GB2312"/>
                <w:sz w:val="21"/>
                <w:color w:val="000000"/>
              </w:rPr>
              <w:t>个日历天；</w:t>
            </w:r>
          </w:p>
          <w:p>
            <w:pPr>
              <w:pStyle w:val="null3"/>
              <w:jc w:val="left"/>
            </w:pPr>
            <w:r>
              <w:rPr>
                <w:rFonts w:ascii="仿宋_GB2312" w:hAnsi="仿宋_GB2312" w:cs="仿宋_GB2312" w:eastAsia="仿宋_GB2312"/>
                <w:sz w:val="21"/>
                <w:color w:val="000000"/>
              </w:rPr>
              <w:t>4、质保期：按设计说明，钢结构主体质保期为10年，附属配套设施2年</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5、缺陷责任期：2年。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color w:val="000000"/>
              </w:rPr>
              <w:t>1.施工规范及要求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1）本工程的施工过程和成果必须符合国家有关工程建设标准强制性条文和国家或有关部门关于 工程施工方面现行的标准、规范、规程、定额、办法、示例，以及陕西省关于工程施工方面的文件 、规定，同时满足中华人民共和国住建部发布的《工程建设标准强制性条文》的规定，供应商施工选用的设备及投入本项目的材料及施工必须符合最新版本的国家标准、规范；达到现行中华人民共和国及省、市、行业的一切有关法规、规范的要求，如标准及规范要求有出入，未能达到国家最新标准，则以较严格者为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2）采购人提供工程的施工方案和相关技术文件，是采购人现有的能被供应商利用的资料，采购人对供应商做出的任何推论、理解均不负责任。</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3）施工过程中，所有材料必须在检验合格经采购人同意后，方可用于本工程。</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供应商应先到工程地点踏勘以充分了解工地位置、地质情况、进出场道路、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隐蔽工程必须经采购人检查、验收后，方可进行下一道工序，每道工序都应严格按图纸设计要求进行施工，偏差控制在技术规范内，遇到疑难问题应及时反馈，如有变更应作出书面报告，待批复后才能施工，不得自行更改。</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7）在免费质量保修期内，成交供应商对有缺陷的部位必须无偿地给予修理与更换，并承担一切由此引起的对采购人或第三者的直接损失，除非该缺陷是由于人为破坏或合同规定的不可抗因素造成的损坏。</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8）成交供应商未经采购人及有关部门同意，不得擅自变更本项目在招标过程承诺中认定的采购 范围、实施组织方案和项目负责人（响应文件中应明确项目经理的姓名及联系方法，以备检查）。</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9）成交供应商必须自行施工，不得转包、分包。</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10）现场垃圾清运、治污减霾工作由成交供应商全权负责，做好项目的扬尘防治工作及垃圾清运工作。</w:t>
            </w:r>
          </w:p>
          <w:p>
            <w:pPr>
              <w:pStyle w:val="null3"/>
              <w:jc w:val="left"/>
            </w:pPr>
            <w:r>
              <w:rPr>
                <w:rFonts w:ascii="仿宋_GB2312" w:hAnsi="仿宋_GB2312" w:cs="仿宋_GB2312" w:eastAsia="仿宋_GB2312"/>
                <w:sz w:val="21"/>
                <w:color w:val="000000"/>
              </w:rPr>
              <w:t>2.工程管理要求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供应商应严格按已确认施工技术方案组织施工，并无条件地接受采购人代表对施工质量的监督和管理。施工过程中，施工方必须要严格把关，按照相应规范标准要求施工，如出现不符合标准要求的情况，施工方必须无条件返工，直至达到规范标准要求。所发生的费用均由施工方承担。</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应商在响应文件中的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w:t>
            </w:r>
          </w:p>
          <w:p>
            <w:pPr>
              <w:pStyle w:val="null3"/>
              <w:jc w:val="left"/>
            </w:pPr>
            <w:r>
              <w:rPr>
                <w:rFonts w:ascii="仿宋_GB2312" w:hAnsi="仿宋_GB2312" w:cs="仿宋_GB2312" w:eastAsia="仿宋_GB2312"/>
                <w:sz w:val="21"/>
                <w:color w:val="000000"/>
              </w:rPr>
              <w:t>3.质量验收标准</w:t>
            </w:r>
          </w:p>
          <w:p>
            <w:pPr>
              <w:pStyle w:val="null3"/>
              <w:jc w:val="left"/>
            </w:pPr>
            <w:r>
              <w:rPr>
                <w:rFonts w:ascii="仿宋_GB2312" w:hAnsi="仿宋_GB2312" w:cs="仿宋_GB2312" w:eastAsia="仿宋_GB2312"/>
                <w:sz w:val="21"/>
                <w:color w:val="000000"/>
              </w:rPr>
              <w:t>①所含分部工程的质量均应验收合格；</w:t>
            </w:r>
          </w:p>
          <w:p>
            <w:pPr>
              <w:pStyle w:val="null3"/>
              <w:jc w:val="left"/>
            </w:pPr>
            <w:r>
              <w:rPr>
                <w:rFonts w:ascii="仿宋_GB2312" w:hAnsi="仿宋_GB2312" w:cs="仿宋_GB2312" w:eastAsia="仿宋_GB2312"/>
                <w:sz w:val="21"/>
                <w:color w:val="000000"/>
              </w:rPr>
              <w:t>②质量控制资料应完整；</w:t>
            </w:r>
          </w:p>
          <w:p>
            <w:pPr>
              <w:pStyle w:val="null3"/>
              <w:jc w:val="left"/>
            </w:pPr>
            <w:r>
              <w:rPr>
                <w:rFonts w:ascii="仿宋_GB2312" w:hAnsi="仿宋_GB2312" w:cs="仿宋_GB2312" w:eastAsia="仿宋_GB2312"/>
                <w:sz w:val="21"/>
                <w:color w:val="000000"/>
              </w:rPr>
              <w:t>③所含工程中有关安全、节能、环境保护和主要使用功能的检验资料应完整；</w:t>
            </w:r>
          </w:p>
          <w:p>
            <w:pPr>
              <w:pStyle w:val="null3"/>
              <w:jc w:val="left"/>
            </w:pPr>
            <w:r>
              <w:rPr>
                <w:rFonts w:ascii="仿宋_GB2312" w:hAnsi="仿宋_GB2312" w:cs="仿宋_GB2312" w:eastAsia="仿宋_GB2312"/>
                <w:sz w:val="21"/>
                <w:color w:val="000000"/>
              </w:rPr>
              <w:t>④有关安全、节能、环境保护和主要使用功能的抽样检验结果应符合相应规定；</w:t>
            </w:r>
          </w:p>
          <w:p>
            <w:pPr>
              <w:pStyle w:val="null3"/>
              <w:jc w:val="left"/>
            </w:pPr>
            <w:r>
              <w:rPr>
                <w:rFonts w:ascii="仿宋_GB2312" w:hAnsi="仿宋_GB2312" w:cs="仿宋_GB2312" w:eastAsia="仿宋_GB2312"/>
                <w:sz w:val="21"/>
                <w:color w:val="000000"/>
              </w:rPr>
              <w:t>⑤主要使用功能的抽查结果应符合相关专业验收规范的规定；</w:t>
            </w:r>
          </w:p>
          <w:p>
            <w:pPr>
              <w:pStyle w:val="null3"/>
            </w:pPr>
            <w:r>
              <w:rPr>
                <w:rFonts w:ascii="仿宋_GB2312" w:hAnsi="仿宋_GB2312" w:cs="仿宋_GB2312" w:eastAsia="仿宋_GB2312"/>
                <w:sz w:val="21"/>
                <w:color w:val="000000"/>
              </w:rPr>
              <w:t>⑥现行的国家标准或国家行政部门颁布的法律法规、规章制度，没有国家标准的，可以参考行业标准。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、最终工程造价确定方式：以具有审计资质的第三方评审机构出具的审计报告为准；</w:t>
            </w:r>
            <w:r>
              <w:br/>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安全责任：供应商作为施工主体，对施工现场的安全生产负主要责任。需严格遵守国家及地方安全生产相关法律法规、行业规范，建立健全施工现场安全管理制度，配备专职安全员及必要的安全防护设施（如安全帽、安全带、防护网等）；施工前需对作业人员进行安全培训及技术交底，施工过程中严格落实安全操作规程，及时排查并消除安全隐患，杜绝违章作业、冒险施工。若因供应商管理不善、操作不当等原因引发安全事故，由供应商承担全部责任（包括但不限于人员伤亡赔偿、财产损失修复、行政处罚等。</w:t>
            </w:r>
            <w:r>
              <w:br/>
            </w:r>
            <w:r>
              <w:rPr>
                <w:rFonts w:ascii="仿宋_GB2312" w:hAnsi="仿宋_GB2312" w:cs="仿宋_GB2312" w:eastAsia="仿宋_GB2312"/>
                <w:sz w:val="21"/>
              </w:rPr>
              <w:t xml:space="preserve"> 4、验收：如最终工程未通过验收，供应商应无条件配合采购人进行后续整改，且全部整改费用由供应商自行承担，直至工程通过验收。若供应商无正当理由拒绝配合整改，供应商无权要求采购人支付任何工程价款，且应自采购人发出书面通知之日起 7 个工作日内，无条件退还采购人已支付的全部合同款项。同时，供应商需自行承担已完工工程的拆除、清运、场地复原等全部工作及相关费用，将场地恢复至合同约定标准。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工程质量需达到国家强制性合格标准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工程管理要求 （1）供应商应严格按已确认施工技术方案组织施工，并无条件地接受采购人代表对施工质量的监督和管理。施工过程中，施工方必须要严格把关，按照相应规范标准要求施工，如出现不符合标准要求的情况，施工方必须无条件返工，直至达到规范标准要求。所发生的费用均由施工方承担。 （2）供应商在响应文件中的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面推行政府采购供应商基本资格条件承诺制的通知》（汉财办采管【2024】20号）文件要求，供应商无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技术服务合同条款及其他商务要求应答表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技术服务合同条款及其他商务要求应答表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 技术服务合同条款及其他商务要求应答表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供应商应具备建设行政部门核发的建筑工程施工总承包三级（含三级）以上资质，具有有效的安全生产许可证；供应商资质信息应在“陕西省住房和城乡建设厅网（http://js.shaanxi.gov.cn/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须具备建筑工程专业注册建造师二级（含二级）及以上执业资格和安全生产考核合格B证，无在建项目，且具有建筑工程相关专业工程师及以上执业资格；拟派项目负责人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拟派技术负责人要求</w:t>
            </w:r>
          </w:p>
        </w:tc>
        <w:tc>
          <w:tcPr>
            <w:tcW w:type="dxa" w:w="3322"/>
          </w:tcPr>
          <w:p>
            <w:pPr>
              <w:pStyle w:val="null3"/>
            </w:pPr>
            <w:r>
              <w:rPr>
                <w:rFonts w:ascii="仿宋_GB2312" w:hAnsi="仿宋_GB2312" w:cs="仿宋_GB2312" w:eastAsia="仿宋_GB2312"/>
              </w:rPr>
              <w:t>拟派技术负责人须建设行政主管部门颁发的安全生产考核合格B证（建安B证），无在建项目，且具有建筑工程相关专业工程师及以上执业资格；拟派技术负责人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 技术服务合同条款及其他商务要求应答表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响应文件是否按招标文件要求签署、盖章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项目服务实施方案.docx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响应文件报价唯一，且没有高于招标最高限价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供应商提供2023年1月1日以来完成的类似项目业绩，每提供一个得2.5分，最高得5分。（提供完整的合同协议书原件或加盖公章的复印件）；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拟派技术负责人职称</w:t>
            </w:r>
          </w:p>
        </w:tc>
        <w:tc>
          <w:tcPr>
            <w:tcW w:type="dxa" w:w="2492"/>
          </w:tcPr>
          <w:p>
            <w:pPr>
              <w:pStyle w:val="null3"/>
            </w:pPr>
            <w:r>
              <w:rPr>
                <w:rFonts w:ascii="仿宋_GB2312" w:hAnsi="仿宋_GB2312" w:cs="仿宋_GB2312" w:eastAsia="仿宋_GB2312"/>
              </w:rPr>
              <w:t>拟派技术负责人具有中级及以上职称（建筑工程相关专业）。 中级职称，得1.5分；具有高级职称，得3分；中级以下或未提供均不得分；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项目部其他技术人员</w:t>
            </w:r>
          </w:p>
        </w:tc>
        <w:tc>
          <w:tcPr>
            <w:tcW w:type="dxa" w:w="2492"/>
          </w:tcPr>
          <w:p>
            <w:pPr>
              <w:pStyle w:val="null3"/>
            </w:pPr>
            <w:r>
              <w:rPr>
                <w:rFonts w:ascii="仿宋_GB2312" w:hAnsi="仿宋_GB2312" w:cs="仿宋_GB2312" w:eastAsia="仿宋_GB2312"/>
              </w:rPr>
              <w:t>1.提供施工员、安全员、质量员、资料员、材料员的，每有一个得1分，最多得5分。注：上述人员均需具有专业执业证书证件，否则不得分，且同类人员只计算一次；2.上述人员能够按要求全程在岗到岗、常驻施工现场，在岗履职，未经建设单位及监理单位同意不得擅自离岗、脱岗或擅自更换人员，提供承诺书得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制定的施工方案应包含：①对项目总体概况表述；②施工部署及措施；③对项目主要及关键方案的表述；④施工平面布置。方案合理完善的计8分，若上述内容存在缺陷，每小项每出现一处缺陷扣1分，单项扣完为止。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供应商针对本项目制定的质量保证措施应包含：①质量管理目标；②管理机构职责分工；③质量管理制度；④质量保证措施。方案合理完善的计8分，若上述内容存在缺陷，每出现一处缺陷扣1分，扣完为止。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针对本项目制定的安全保证措施应包含：①安全管理目标；②安全管理机构职责分工；③安全管理制度；④安全保证措施。方案全面、有效的计8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工程进度保证措施</w:t>
            </w:r>
          </w:p>
        </w:tc>
        <w:tc>
          <w:tcPr>
            <w:tcW w:type="dxa" w:w="2492"/>
          </w:tcPr>
          <w:p>
            <w:pPr>
              <w:pStyle w:val="null3"/>
            </w:pPr>
            <w:r>
              <w:rPr>
                <w:rFonts w:ascii="仿宋_GB2312" w:hAnsi="仿宋_GB2312" w:cs="仿宋_GB2312" w:eastAsia="仿宋_GB2312"/>
              </w:rPr>
              <w:t>供应商针对本项目制定的工程进度保证措施应包含：①总工期及节点工期安排；②施工进度计划安排；③进度保证措施。方案合理完整的计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供应商针对本项目制定的合理化建议。方案合理完整、可行的计3分，若上述内容存在缺陷，每出现一处缺陷扣1分，扣完为止。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3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办公区施工保障措施</w:t>
            </w:r>
          </w:p>
        </w:tc>
        <w:tc>
          <w:tcPr>
            <w:tcW w:type="dxa" w:w="2492"/>
          </w:tcPr>
          <w:p>
            <w:pPr>
              <w:pStyle w:val="null3"/>
            </w:pPr>
            <w:r>
              <w:rPr>
                <w:rFonts w:ascii="仿宋_GB2312" w:hAnsi="仿宋_GB2312" w:cs="仿宋_GB2312" w:eastAsia="仿宋_GB2312"/>
              </w:rPr>
              <w:t>供应商针对本院办公区域项目制定的安全防护与正常办公保障措施应包含：①管理目标（含保障办公秩序不受干扰、人员财产安全、现有办公设施设备完好）；②专项管理机构及职责分工（含安全专员、办公协调专员）；③具体实施措施（含施工区域封闭围挡、办公区域与施工区域物理隔离、施工时段错峰安排、办公设施成品保护、施工噪音时段管控、办公通道畅通保障等）。方案全面、针对性强、可落地的计6分；若上述内容存在缺陷，每小项每出现一处缺陷扣1分，单项扣完为止。注：“缺陷” 是指内容缺项、不完整或缺少关键点；非专门针对办公区域场景设计、套用普通建筑项目内容；表述前后矛盾；存在逻辑漏洞、不符合办公区域安全管理规范或常识错误；可能影响正常办公、人员安全或现有设施完好的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噪音和扬尘控制治理措施</w:t>
            </w:r>
          </w:p>
        </w:tc>
        <w:tc>
          <w:tcPr>
            <w:tcW w:type="dxa" w:w="2492"/>
          </w:tcPr>
          <w:p>
            <w:pPr>
              <w:pStyle w:val="null3"/>
            </w:pPr>
            <w:r>
              <w:rPr>
                <w:rFonts w:ascii="仿宋_GB2312" w:hAnsi="仿宋_GB2312" w:cs="仿宋_GB2312" w:eastAsia="仿宋_GB2312"/>
              </w:rPr>
              <w:t>供应商针对本院项目制定的噪音与扬尘控制治理措施应包含：①噪音与扬尘控制管理机构及职责分工；②噪音与扬尘控制管理制度（含监测、巡查、报备、整改等）；③噪音与扬尘控制具体措施（需结合场地特点设计针对性管控手段）。方案全面、有效的计 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供应商针对对本项目提供的服务承诺，包含：①、拟投入的材料应符合国家及相关行业规范、标准的承诺；②、质量保修期服务承诺；每提供一个承诺计2分，最多得4分，重复不计分；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供应商针对项目制定的应急保障措施应包含：①应急管理机构及职责分工；②应急管理制度；③专项应急保障措施。方案全面、有效的计6分，若上述内容存在缺陷，每小项每出现一处缺陷扣1分，单项扣完为止。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价格分采用低价优先法得算，即满足招标文件要求且投标报价最低的报价为评标基准价，其价格分为满分。其他投标人的价格分统一按照下列公式得算：报价得分=(评标基准价／投标报价)×30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详见附件：项目服务实施方案.docx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