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47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21"/>
        <w:gridCol w:w="2397"/>
        <w:gridCol w:w="1441"/>
        <w:gridCol w:w="762"/>
        <w:gridCol w:w="1825"/>
        <w:gridCol w:w="1825"/>
      </w:tblGrid>
      <w:tr w14:paraId="50FE13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7" w:hRule="atLeast"/>
          <w:jc w:val="center"/>
        </w:trPr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6D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品目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21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分项名称</w:t>
            </w: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DF4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采购数量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564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D62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分项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预算</w:t>
            </w:r>
          </w:p>
          <w:p w14:paraId="10D182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（万元）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60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分项最高限价（万元）</w:t>
            </w:r>
          </w:p>
        </w:tc>
      </w:tr>
      <w:tr w14:paraId="2368DE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atLeast"/>
          <w:jc w:val="center"/>
        </w:trPr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37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ja-JP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ja-JP"/>
              </w:rPr>
              <w:t>1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25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YAG玻璃体消融激光（核心产品）</w:t>
            </w: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0B3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967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71F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150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B93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130万元/台</w:t>
            </w:r>
          </w:p>
        </w:tc>
      </w:tr>
      <w:tr w14:paraId="4F39D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atLeast"/>
          <w:jc w:val="center"/>
        </w:trPr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89E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56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角膜生物力学分析仪</w:t>
            </w: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EBE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3FC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7B4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94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80D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90万元/台</w:t>
            </w:r>
          </w:p>
        </w:tc>
      </w:tr>
      <w:tr w14:paraId="3DFCD7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atLeast"/>
          <w:jc w:val="center"/>
        </w:trPr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6B2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1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眼前节测量评估系统</w:t>
            </w: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7FB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DA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F36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98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FA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95万元/台</w:t>
            </w:r>
          </w:p>
        </w:tc>
      </w:tr>
    </w:tbl>
    <w:p w14:paraId="76D8B38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E3549"/>
    <w:rsid w:val="0F0251E6"/>
    <w:rsid w:val="652E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djustRightInd w:val="0"/>
      <w:spacing w:line="336" w:lineRule="auto"/>
      <w:jc w:val="left"/>
    </w:pPr>
    <w:rPr>
      <w:rFonts w:ascii="Arial" w:hAnsi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2026-06-12T07:17:00Z</dcterms:created>
  <dc:creator>Administrator</dc:creator>
  <cp:lastModifiedBy>Administrator</cp:lastModifiedBy>
  <dcterms:modified xsi:type="dcterms:W3CDTF">2026-06-12T07:18:01Z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BE3D4E82B09F4856BA7F245EAB687C0C_11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