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版本号：ZHCG-YTJY-2026061020260611001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狱内建筑物雨水明沟及电缆井维修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ZHCG-YTJY-20260610</w:t>
      </w:r>
      <w:r>
        <w:br/>
      </w:r>
      <w:r>
        <w:br/>
      </w:r>
      <w:r>
        <w:br/>
      </w:r>
    </w:p>
    <w:p>
      <w:pPr>
        <w:pStyle w:val="null3"/>
        <w:jc w:val="center"/>
        <w:outlineLvl w:val="2"/>
      </w:pPr>
      <w:r>
        <w:rPr>
          <w:rFonts w:ascii="仿宋_GB2312" w:hAnsi="仿宋_GB2312" w:cs="仿宋_GB2312" w:eastAsia="仿宋_GB2312"/>
          <w:sz w:val="28"/>
          <w:b/>
        </w:rPr>
        <w:t>陕西省雁塔监狱</w:t>
      </w:r>
    </w:p>
    <w:p>
      <w:pPr>
        <w:pStyle w:val="null3"/>
        <w:jc w:val="center"/>
        <w:outlineLvl w:val="2"/>
      </w:pPr>
      <w:r>
        <w:rPr>
          <w:rFonts w:ascii="仿宋_GB2312" w:hAnsi="仿宋_GB2312" w:cs="仿宋_GB2312" w:eastAsia="仿宋_GB2312"/>
          <w:sz w:val="28"/>
          <w:b/>
        </w:rPr>
        <w:t>正和丽景项目管理有限公司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正和丽景项目管理有限公司</w:t>
      </w:r>
      <w:r>
        <w:rPr>
          <w:rFonts w:ascii="仿宋_GB2312" w:hAnsi="仿宋_GB2312" w:cs="仿宋_GB2312" w:eastAsia="仿宋_GB2312"/>
        </w:rPr>
        <w:t>（以下简称“代理机构”）受</w:t>
      </w:r>
      <w:r>
        <w:rPr>
          <w:rFonts w:ascii="仿宋_GB2312" w:hAnsi="仿宋_GB2312" w:cs="仿宋_GB2312" w:eastAsia="仿宋_GB2312"/>
        </w:rPr>
        <w:t>陕西省雁塔监狱</w:t>
      </w:r>
      <w:r>
        <w:rPr>
          <w:rFonts w:ascii="仿宋_GB2312" w:hAnsi="仿宋_GB2312" w:cs="仿宋_GB2312" w:eastAsia="仿宋_GB2312"/>
        </w:rPr>
        <w:t>委托，拟对</w:t>
      </w:r>
      <w:r>
        <w:rPr>
          <w:rFonts w:ascii="仿宋_GB2312" w:hAnsi="仿宋_GB2312" w:cs="仿宋_GB2312" w:eastAsia="仿宋_GB2312"/>
        </w:rPr>
        <w:t>狱内建筑物雨水明沟及电缆井维修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ZHCG-YTJY-20260610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狱内建筑物雨水明沟及电缆井维修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狱内建筑物雨水明沟及电缆井维修，包括但不限于：狱内建筑物雨水明沟及电缆井维修，施工内容具体详见工程量清单。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采购包1（狱内建筑物雨水明沟及电缆井维修）：属于专门面向中小企业采购。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财务审计报告：提供2025年度或2026年度完整的经审计的财务报告（成立时间至投标文件提交截止时间不足一年的可提供成立后任意时段的资产负债表、利润表、现金流），或提交自2025年12月1日以来银行（基本户开户行）出具的资信证明，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3、税收缴纳证明：提供响应文件提交截止时间前近一年内至少一个月的纳税证明或完税证明（增值税，印花税，城市维护建设费，企业所得税等一种或多种税种），依法免税的单位应提供相关证明材料；</w:t>
      </w:r>
    </w:p>
    <w:p>
      <w:pPr>
        <w:pStyle w:val="null3"/>
      </w:pPr>
      <w:r>
        <w:rPr>
          <w:rFonts w:ascii="仿宋_GB2312" w:hAnsi="仿宋_GB2312" w:cs="仿宋_GB2312" w:eastAsia="仿宋_GB2312"/>
        </w:rPr>
        <w:t>4、社会保障资金缴纳证明：提供响应文件提交截止时间前近一年内至少一个月的社会保障资金缴存单据或社保机构开具的社会保险参保缴费情况证明，依法不需要缴纳社会保障资金的单位应提供相关证明材料；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5、履约能力：提供具有履行本合同所必需的设备和专业技术能力的声明；</w:t>
      </w:r>
    </w:p>
    <w:p>
      <w:pPr>
        <w:pStyle w:val="null3"/>
      </w:pPr>
      <w:r>
        <w:rPr>
          <w:rFonts w:ascii="仿宋_GB2312" w:hAnsi="仿宋_GB2312" w:cs="仿宋_GB2312" w:eastAsia="仿宋_GB2312"/>
        </w:rPr>
        <w:t>6、前三年内无重大违法记录的声明：出具参加政府采购活动前3年内在经营活动中没有重大违法记录的书面声明；</w:t>
      </w:r>
    </w:p>
    <w:p>
      <w:pPr>
        <w:pStyle w:val="null3"/>
      </w:pPr>
      <w:r>
        <w:rPr>
          <w:rFonts w:ascii="仿宋_GB2312" w:hAnsi="仿宋_GB2312" w:cs="仿宋_GB2312" w:eastAsia="仿宋_GB2312"/>
        </w:rPr>
        <w:t>7、法定代表人授权书：法定代表人身份证明书或授权委托书：供应商应提供法定代表人身份证明书或授权委托书。法定代表人直接参加的，须出具法定代表人身份证明书，并与营业执照上信息一致；被授权人参加的，须出具法定代表人授权委托书；</w:t>
      </w:r>
    </w:p>
    <w:p>
      <w:pPr>
        <w:pStyle w:val="null3"/>
      </w:pPr>
      <w:r>
        <w:rPr>
          <w:rFonts w:ascii="仿宋_GB2312" w:hAnsi="仿宋_GB2312" w:cs="仿宋_GB2312" w:eastAsia="仿宋_GB2312"/>
        </w:rPr>
        <w:t>8、信用信息：供应商应在信用中国（www.creditchina.gov.cn）未被列入重大税收违法失信主体、在中国执行信息公开网（http://zxgk.court.gov.cn/）中未被列入失信被执行人及在中国政府采购网（www.ccgp.gov.cn）未被列入政府采购严重违法失信行为记录名单，供应商及项目经理信息须在“全国建筑市场监管公共服务平台”上可查询，且无不良记录（处罚期限届满的除外，如相关失信记录已失效，供应商需提供相关证明资料）；</w:t>
      </w:r>
    </w:p>
    <w:p>
      <w:pPr>
        <w:pStyle w:val="null3"/>
      </w:pPr>
      <w:r>
        <w:rPr>
          <w:rFonts w:ascii="仿宋_GB2312" w:hAnsi="仿宋_GB2312" w:cs="仿宋_GB2312" w:eastAsia="仿宋_GB2312"/>
        </w:rPr>
        <w:t>9、资质要求：具备建筑工程施工总承包三级及以上资质，并具有建设行政主管部门核发的有效的安全生产许可证；</w:t>
      </w:r>
    </w:p>
    <w:p>
      <w:pPr>
        <w:pStyle w:val="null3"/>
      </w:pPr>
      <w:r>
        <w:rPr>
          <w:rFonts w:ascii="仿宋_GB2312" w:hAnsi="仿宋_GB2312" w:cs="仿宋_GB2312" w:eastAsia="仿宋_GB2312"/>
        </w:rPr>
        <w:t>10、项目经理：拟派项目经理具有建筑工程专业二级及以上注册建造师执业资格，并具有合格有效的安全生产考核合格证（B证），且无在建项目；</w:t>
      </w:r>
    </w:p>
    <w:p>
      <w:pPr>
        <w:pStyle w:val="null3"/>
      </w:pPr>
      <w:r>
        <w:rPr>
          <w:rFonts w:ascii="仿宋_GB2312" w:hAnsi="仿宋_GB2312" w:cs="仿宋_GB2312" w:eastAsia="仿宋_GB2312"/>
        </w:rPr>
        <w:t>11、关联关系：①单位负责人为同一人或者存在直接控股、管理关系的不同供应商，不得参加同一合同项下的政府采购活动；②采购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陕西省雁塔监狱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西安市南二环东段50号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029-85882913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正和丽景项目管理有限公司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陕西省西安市雁塔区唐延路35号旺座现代城B座1104室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何智颖、李冲、高兴、亢辉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029-88212028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采购包1：1,310,000.00元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开户名称：正和丽景项目管理有限公司</w:t>
            </w:r>
          </w:p>
          <w:p>
            <w:pPr>
              <w:pStyle w:val="null3"/>
            </w:pPr>
            <w:r>
              <w:rPr>
                <w:rFonts w:ascii="仿宋_GB2312" w:hAnsi="仿宋_GB2312" w:cs="仿宋_GB2312" w:eastAsia="仿宋_GB2312"/>
              </w:rPr>
              <w:t>开户银行：中国农业银行股份有限公司西安唐延路支行</w:t>
            </w:r>
          </w:p>
          <w:p>
            <w:pPr>
              <w:pStyle w:val="null3"/>
            </w:pPr>
            <w:r>
              <w:rPr>
                <w:rFonts w:ascii="仿宋_GB2312" w:hAnsi="仿宋_GB2312" w:cs="仿宋_GB2312" w:eastAsia="仿宋_GB2312"/>
              </w:rPr>
              <w:t>银行账号：26193001040015922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说明：成交供应商在合同签订前，缴纳至采购人指定账户，工程竣工验收合格后转为质保金，缺陷责任期满后采购人无息向成交供应商退还。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考国家发展计划委员会计价格〔2002〕1980号、发改办价格〔2003〕857号规定，依据发改价格〔2015〕299号文件规定标准计取该项目的招标代理服务费。经双方协商，由成交供应商支付招标代理服务费，发放成交通知书时一次性付清。</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陕西省雁塔监狱</w:t>
      </w:r>
      <w:r>
        <w:rPr>
          <w:rFonts w:ascii="仿宋_GB2312" w:hAnsi="仿宋_GB2312" w:cs="仿宋_GB2312" w:eastAsia="仿宋_GB2312"/>
        </w:rPr>
        <w:t>和</w:t>
      </w:r>
      <w:r>
        <w:rPr>
          <w:rFonts w:ascii="仿宋_GB2312" w:hAnsi="仿宋_GB2312" w:cs="仿宋_GB2312" w:eastAsia="仿宋_GB2312"/>
        </w:rPr>
        <w:t>正和丽景项目管理有限公司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陕西省雁塔监狱</w:t>
      </w:r>
      <w:r>
        <w:rPr>
          <w:rFonts w:ascii="仿宋_GB2312" w:hAnsi="仿宋_GB2312" w:cs="仿宋_GB2312" w:eastAsia="仿宋_GB2312"/>
        </w:rPr>
        <w:t>负责解释。除上述磋商文件内容，其他内容由</w:t>
      </w:r>
      <w:r>
        <w:rPr>
          <w:rFonts w:ascii="仿宋_GB2312" w:hAnsi="仿宋_GB2312" w:cs="仿宋_GB2312" w:eastAsia="仿宋_GB2312"/>
        </w:rPr>
        <w:t>正和丽景项目管理有限公司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陕西省雁塔监狱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正和丽景项目管理有限公司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以双方签订合同为准。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正和丽景项目管理有限公司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正和丽景项目管理有限公司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正和丽景项目管理有限公司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联系人：何智颖、李冲</w:t>
      </w:r>
    </w:p>
    <w:p>
      <w:pPr>
        <w:pStyle w:val="null3"/>
      </w:pPr>
      <w:r>
        <w:rPr>
          <w:rFonts w:ascii="仿宋_GB2312" w:hAnsi="仿宋_GB2312" w:cs="仿宋_GB2312" w:eastAsia="仿宋_GB2312"/>
        </w:rPr>
        <w:t>联系电话：029-88212028</w:t>
      </w:r>
    </w:p>
    <w:p>
      <w:pPr>
        <w:pStyle w:val="null3"/>
      </w:pPr>
      <w:r>
        <w:rPr>
          <w:rFonts w:ascii="仿宋_GB2312" w:hAnsi="仿宋_GB2312" w:cs="仿宋_GB2312" w:eastAsia="仿宋_GB2312"/>
        </w:rPr>
        <w:t>地址：陕西省西安市雁塔区唐延路35号旺座现代城B座1104室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1,310,000.00</w:t>
      </w:r>
    </w:p>
    <w:p>
      <w:pPr>
        <w:pStyle w:val="null3"/>
      </w:pPr>
      <w:r>
        <w:rPr>
          <w:rFonts w:ascii="仿宋_GB2312" w:hAnsi="仿宋_GB2312" w:cs="仿宋_GB2312" w:eastAsia="仿宋_GB2312"/>
        </w:rPr>
        <w:t>采购包最高限价（元）: 1,297,770.33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狱内建筑物雨水明沟及电缆井维修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1,310,000.00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标的名称：狱内建筑物雨水明沟及电缆井维修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883"/>
              <w:jc w:val="center"/>
            </w:pPr>
            <w:r>
              <w:rPr>
                <w:rFonts w:ascii="仿宋_GB2312" w:hAnsi="仿宋_GB2312" w:cs="仿宋_GB2312" w:eastAsia="仿宋_GB2312"/>
              </w:rPr>
              <w:t xml:space="preserve"> </w:t>
            </w:r>
          </w:p>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项目概况：</w:t>
            </w:r>
          </w:p>
          <w:p>
            <w:pPr>
              <w:pStyle w:val="null3"/>
              <w:ind w:firstLine="480"/>
              <w:jc w:val="both"/>
            </w:pPr>
            <w:r>
              <w:rPr>
                <w:rFonts w:ascii="仿宋_GB2312" w:hAnsi="仿宋_GB2312" w:cs="仿宋_GB2312" w:eastAsia="仿宋_GB2312"/>
                <w:sz w:val="24"/>
              </w:rPr>
              <w:t>狱内建筑物雨水明沟及电缆井维修，包括但不限于：狱内建筑物雨水明</w:t>
            </w:r>
            <w:r>
              <w:rPr>
                <w:rFonts w:ascii="仿宋_GB2312" w:hAnsi="仿宋_GB2312" w:cs="仿宋_GB2312" w:eastAsia="仿宋_GB2312"/>
                <w:sz w:val="24"/>
              </w:rPr>
              <w:t>沟及电缆井维修，施工内容具体详见工程量清单。</w:t>
            </w:r>
          </w:p>
          <w:p>
            <w:pPr>
              <w:pStyle w:val="null3"/>
              <w:ind w:firstLine="480"/>
              <w:jc w:val="both"/>
            </w:pPr>
            <w:r>
              <w:rPr>
                <w:rFonts w:ascii="仿宋_GB2312" w:hAnsi="仿宋_GB2312" w:cs="仿宋_GB2312" w:eastAsia="仿宋_GB2312"/>
                <w:sz w:val="24"/>
              </w:rPr>
              <w:t>（一）项目名称：</w:t>
            </w:r>
            <w:r>
              <w:rPr>
                <w:rFonts w:ascii="仿宋_GB2312" w:hAnsi="仿宋_GB2312" w:cs="仿宋_GB2312" w:eastAsia="仿宋_GB2312"/>
                <w:sz w:val="24"/>
              </w:rPr>
              <w:t>狱内建筑物雨水明沟及电缆井维修</w:t>
            </w:r>
          </w:p>
          <w:p>
            <w:pPr>
              <w:pStyle w:val="null3"/>
              <w:ind w:firstLine="480"/>
              <w:jc w:val="both"/>
            </w:pPr>
            <w:r>
              <w:rPr>
                <w:rFonts w:ascii="仿宋_GB2312" w:hAnsi="仿宋_GB2312" w:cs="仿宋_GB2312" w:eastAsia="仿宋_GB2312"/>
                <w:sz w:val="24"/>
              </w:rPr>
              <w:t>（二）建设单位：</w:t>
            </w:r>
            <w:r>
              <w:rPr>
                <w:rFonts w:ascii="仿宋_GB2312" w:hAnsi="仿宋_GB2312" w:cs="仿宋_GB2312" w:eastAsia="仿宋_GB2312"/>
                <w:sz w:val="24"/>
              </w:rPr>
              <w:t>陕西省雁塔监狱</w:t>
            </w:r>
          </w:p>
          <w:p>
            <w:pPr>
              <w:pStyle w:val="null3"/>
              <w:ind w:firstLine="480"/>
              <w:jc w:val="both"/>
            </w:pPr>
            <w:r>
              <w:rPr>
                <w:rFonts w:ascii="仿宋_GB2312" w:hAnsi="仿宋_GB2312" w:cs="仿宋_GB2312" w:eastAsia="仿宋_GB2312"/>
                <w:sz w:val="24"/>
              </w:rPr>
              <w:t>（三）项目建设地点：陕西省，</w:t>
            </w:r>
            <w:r>
              <w:rPr>
                <w:rFonts w:ascii="仿宋_GB2312" w:hAnsi="仿宋_GB2312" w:cs="仿宋_GB2312" w:eastAsia="仿宋_GB2312"/>
                <w:sz w:val="24"/>
              </w:rPr>
              <w:t>西安</w:t>
            </w:r>
            <w:r>
              <w:rPr>
                <w:rFonts w:ascii="仿宋_GB2312" w:hAnsi="仿宋_GB2312" w:cs="仿宋_GB2312" w:eastAsia="仿宋_GB2312"/>
                <w:sz w:val="24"/>
              </w:rPr>
              <w:t>市、</w:t>
            </w:r>
            <w:r>
              <w:rPr>
                <w:rFonts w:ascii="仿宋_GB2312" w:hAnsi="仿宋_GB2312" w:cs="仿宋_GB2312" w:eastAsia="仿宋_GB2312"/>
                <w:sz w:val="24"/>
              </w:rPr>
              <w:t>长安</w:t>
            </w:r>
            <w:r>
              <w:rPr>
                <w:rFonts w:ascii="仿宋_GB2312" w:hAnsi="仿宋_GB2312" w:cs="仿宋_GB2312" w:eastAsia="仿宋_GB2312"/>
                <w:sz w:val="24"/>
              </w:rPr>
              <w:t>区。</w:t>
            </w:r>
          </w:p>
          <w:p>
            <w:pPr>
              <w:pStyle w:val="null3"/>
              <w:ind w:firstLine="480"/>
              <w:jc w:val="both"/>
            </w:pPr>
            <w:r>
              <w:rPr>
                <w:rFonts w:ascii="仿宋_GB2312" w:hAnsi="仿宋_GB2312" w:cs="仿宋_GB2312" w:eastAsia="仿宋_GB2312"/>
                <w:sz w:val="24"/>
              </w:rPr>
              <w:t>（四）项目建设内容：狱内建筑物雨水明沟及电缆井维修，施工内容具体详见工程量清单。</w:t>
            </w:r>
          </w:p>
          <w:p>
            <w:pPr>
              <w:pStyle w:val="null3"/>
              <w:ind w:firstLine="480"/>
              <w:jc w:val="both"/>
            </w:pPr>
            <w:r>
              <w:rPr>
                <w:rFonts w:ascii="仿宋_GB2312" w:hAnsi="仿宋_GB2312" w:cs="仿宋_GB2312" w:eastAsia="仿宋_GB2312"/>
                <w:sz w:val="24"/>
              </w:rPr>
              <w:t>（五）项目估算总投资额约</w:t>
            </w:r>
            <w:r>
              <w:rPr>
                <w:rFonts w:ascii="仿宋_GB2312" w:hAnsi="仿宋_GB2312" w:cs="仿宋_GB2312" w:eastAsia="仿宋_GB2312"/>
                <w:sz w:val="24"/>
              </w:rPr>
              <w:t>131</w:t>
            </w:r>
            <w:r>
              <w:rPr>
                <w:rFonts w:ascii="仿宋_GB2312" w:hAnsi="仿宋_GB2312" w:cs="仿宋_GB2312" w:eastAsia="仿宋_GB2312"/>
                <w:sz w:val="24"/>
              </w:rPr>
              <w:t>.00</w:t>
            </w:r>
            <w:r>
              <w:rPr>
                <w:rFonts w:ascii="仿宋_GB2312" w:hAnsi="仿宋_GB2312" w:cs="仿宋_GB2312" w:eastAsia="仿宋_GB2312"/>
                <w:sz w:val="24"/>
              </w:rPr>
              <w:t>万元。</w:t>
            </w:r>
          </w:p>
          <w:p>
            <w:pPr>
              <w:pStyle w:val="null3"/>
              <w:ind w:firstLine="480"/>
              <w:jc w:val="both"/>
            </w:pPr>
            <w:r>
              <w:rPr>
                <w:rFonts w:ascii="仿宋_GB2312" w:hAnsi="仿宋_GB2312" w:cs="仿宋_GB2312" w:eastAsia="仿宋_GB2312"/>
                <w:sz w:val="24"/>
              </w:rPr>
              <w:t>（六）资金来源：财政资金</w:t>
            </w:r>
          </w:p>
          <w:p>
            <w:pPr>
              <w:pStyle w:val="null3"/>
              <w:ind w:firstLine="482"/>
              <w:jc w:val="both"/>
            </w:pPr>
            <w:r>
              <w:rPr>
                <w:rFonts w:ascii="仿宋_GB2312" w:hAnsi="仿宋_GB2312" w:cs="仿宋_GB2312" w:eastAsia="仿宋_GB2312"/>
                <w:sz w:val="24"/>
                <w:b/>
              </w:rPr>
              <w:t>二、工程技术标准及要求：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、工期：</w:t>
            </w:r>
            <w:r>
              <w:rPr>
                <w:rFonts w:ascii="仿宋_GB2312" w:hAnsi="仿宋_GB2312" w:cs="仿宋_GB2312" w:eastAsia="仿宋_GB2312"/>
                <w:sz w:val="24"/>
              </w:rPr>
              <w:t>90</w:t>
            </w:r>
            <w:r>
              <w:rPr>
                <w:rFonts w:ascii="仿宋_GB2312" w:hAnsi="仿宋_GB2312" w:cs="仿宋_GB2312" w:eastAsia="仿宋_GB2312"/>
                <w:sz w:val="24"/>
              </w:rPr>
              <w:t>日历天。</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、质量要求：符合国家现行有关施工质量验收规范“合格”要求。</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、缺陷责任期：自工程竣工验收合格之日起</w:t>
            </w:r>
            <w:r>
              <w:rPr>
                <w:rFonts w:ascii="仿宋_GB2312" w:hAnsi="仿宋_GB2312" w:cs="仿宋_GB2312" w:eastAsia="仿宋_GB2312"/>
                <w:sz w:val="24"/>
              </w:rPr>
              <w:t>1</w:t>
            </w:r>
            <w:r>
              <w:rPr>
                <w:rFonts w:ascii="仿宋_GB2312" w:hAnsi="仿宋_GB2312" w:cs="仿宋_GB2312" w:eastAsia="仿宋_GB2312"/>
                <w:sz w:val="24"/>
              </w:rPr>
              <w:t>年。</w:t>
            </w:r>
          </w:p>
          <w:p>
            <w:pPr>
              <w:pStyle w:val="null3"/>
              <w:ind w:firstLine="480"/>
              <w:jc w:val="both"/>
            </w:pPr>
            <w:r>
              <w:rPr>
                <w:rFonts w:ascii="仿宋_GB2312" w:hAnsi="仿宋_GB2312" w:cs="仿宋_GB2312" w:eastAsia="仿宋_GB2312"/>
                <w:sz w:val="24"/>
                <w:b/>
              </w:rPr>
              <w:t>三、工程量清单及图纸：</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、工程量清单：详见附件。</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、图纸：详见附件。</w:t>
            </w:r>
          </w:p>
          <w:p>
            <w:pPr>
              <w:pStyle w:val="null3"/>
              <w:ind w:firstLine="883"/>
              <w:jc w:val="center"/>
            </w:pPr>
            <w:r>
              <w:rPr>
                <w:rFonts w:ascii="仿宋_GB2312" w:hAnsi="仿宋_GB2312" w:cs="仿宋_GB2312" w:eastAsia="仿宋_GB2312"/>
              </w:rPr>
              <w:t xml:space="preserve">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承诺书.pdf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2025年度或2026年度完整的经审计的财务报告（成立时间至投标文件提交截止时间不足一年的可提供成立后任意时段的资产负债表、利润表、现金流），或提交自2025年12月1日以来银行（基本户开户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提供响应文件提交截止时间前近一年内至少一个月的纳税证明或完税证明（增值税，印花税，城市维护建设费，企业所得税等一种或多种税种），依法免税的单位应提供相关证明材料；</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提供响应文件提交截止时间前近一年内至少一个月的社会保障资金缴存单据或社保机构开具的社会保险参保缴费情况证明，依法不需要缴纳社会保障资金的单位应提供相关证明材料；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前三年内无重大违法记录的声明</w:t>
            </w:r>
          </w:p>
        </w:tc>
        <w:tc>
          <w:tcPr>
            <w:tcW w:type="dxa" w:w="3322"/>
          </w:tcPr>
          <w:p>
            <w:pPr>
              <w:pStyle w:val="null3"/>
            </w:pPr>
            <w:r>
              <w:rPr>
                <w:rFonts w:ascii="仿宋_GB2312" w:hAnsi="仿宋_GB2312" w:cs="仿宋_GB2312" w:eastAsia="仿宋_GB2312"/>
              </w:rPr>
              <w:t>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身份证明书或授权委托书：供应商应提供法定代表人身份证明书或授权委托书。法定代表人直接参加的，须出具法定代表人身份证明书，并与营业执照上信息一致；被授权人参加的，须出具法定代表人授权委托书；</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应在信用中国（www.creditchina.gov.cn）未被列入重大税收违法失信主体、在中国执行信息公开网（http://zxgk.court.gov.cn/）中未被列入失信被执行人及在中国政府采购网（www.ccgp.gov.cn）未被列入政府采购严重违法失信行为记录名单，供应商及项目经理信息须在“全国建筑市场监管公共服务平台”上可查询，且无不良记录（处罚期限届满的除外，如相关失信记录已失效，供应商需提供相关证明资料）；</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具备建筑工程施工总承包三级及以上资质，并具有建设行政主管部门核发的有效的安全生产许可证；</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拟派项目经理具有建筑工程专业二级及以上注册建造师执业资格，并具有合格有效的安全生产考核合格证（B证），且无在建项目；</w:t>
            </w:r>
          </w:p>
        </w:tc>
        <w:tc>
          <w:tcPr>
            <w:tcW w:type="dxa" w:w="1661"/>
          </w:tcPr>
          <w:p>
            <w:pPr>
              <w:pStyle w:val="null3"/>
            </w:pPr>
            <w:r>
              <w:rPr>
                <w:rFonts w:ascii="仿宋_GB2312" w:hAnsi="仿宋_GB2312" w:cs="仿宋_GB2312" w:eastAsia="仿宋_GB2312"/>
              </w:rPr>
              <w:t>项目管理机构组成表 资格证明文件.pdf</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②采购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承诺书.pdf 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2.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供应商已随响应文件一并提交相关书面说明及必要的证明材料的，在评审现场可不再重复提交。 磋商小组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 异常低价响应审查的启动原因、审查意见和审查结果应当在评审报告中记录，并随供应商提供的相关书面说明及证明材料，以及磋商小组有关互联网浏览、查询历史一并归档。</w:t>
            </w:r>
          </w:p>
        </w:tc>
        <w:tc>
          <w:tcPr>
            <w:tcW w:type="dxa" w:w="1661"/>
          </w:tcPr>
          <w:p>
            <w:pPr>
              <w:pStyle w:val="null3"/>
            </w:pPr>
            <w:r>
              <w:rPr>
                <w:rFonts w:ascii="仿宋_GB2312" w:hAnsi="仿宋_GB2312" w:cs="仿宋_GB2312" w:eastAsia="仿宋_GB2312"/>
              </w:rPr>
              <w:t>已标价的工程量清单.pdf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承诺书.pdf 项目管理机构组成表 中小企业声明函 报价函 技术服务合同条款及其他商务要求应答表 标的清单 响应函 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已标价的工程量清单.pdf 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要求全面响应，不能有任何采购人不能接受的重大负偏离或不能接受的附加条件</w:t>
            </w:r>
          </w:p>
        </w:tc>
        <w:tc>
          <w:tcPr>
            <w:tcW w:type="dxa" w:w="1661"/>
          </w:tcPr>
          <w:p>
            <w:pPr>
              <w:pStyle w:val="null3"/>
            </w:pPr>
            <w:r>
              <w:rPr>
                <w:rFonts w:ascii="仿宋_GB2312" w:hAnsi="仿宋_GB2312" w:cs="仿宋_GB2312" w:eastAsia="仿宋_GB2312"/>
              </w:rPr>
              <w:t>已标价的工程量清单.pdf 报价函 技术服务合同条款及其他商务要求应答表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应满足磋商文件中要求的商务要求</w:t>
            </w:r>
          </w:p>
        </w:tc>
        <w:tc>
          <w:tcPr>
            <w:tcW w:type="dxa" w:w="1661"/>
          </w:tcPr>
          <w:p>
            <w:pPr>
              <w:pStyle w:val="null3"/>
            </w:pPr>
            <w:r>
              <w:rPr>
                <w:rFonts w:ascii="仿宋_GB2312" w:hAnsi="仿宋_GB2312" w:cs="仿宋_GB2312" w:eastAsia="仿宋_GB2312"/>
              </w:rPr>
              <w:t>报价函 技术服务合同条款及其他商务要求应答表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编制完善的施工方案，内容包含:①施工准备②施工方法③重点难点工程分析及解决措施④影响正常施工外在因素分析及对应预案以上内容专门针对本项目且阐述明晰、全面、合理得12分，每缺一项内容扣3分，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供应商针对本项目编制完整的安全施工措施，内容包含:①安全文明施工管理制度②安全文明施工措施③安全应急预案④专项安全措施⑤扬尘噪声控制等。以上内容专门针对本项目且阐述明晰、全面、合理得10分，每缺一项内容扣2分，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施工进度计划安排</w:t>
            </w:r>
          </w:p>
        </w:tc>
        <w:tc>
          <w:tcPr>
            <w:tcW w:type="dxa" w:w="2492"/>
          </w:tcPr>
          <w:p>
            <w:pPr>
              <w:pStyle w:val="null3"/>
            </w:pPr>
            <w:r>
              <w:rPr>
                <w:rFonts w:ascii="仿宋_GB2312" w:hAnsi="仿宋_GB2312" w:cs="仿宋_GB2312" w:eastAsia="仿宋_GB2312"/>
              </w:rPr>
              <w:t>供应商针对本项目编制完善的施工进度计划，内容包含:①进度计划安排②施工进度计划横道图或网络图③进度计划保证措施④赶工措施等。以上内容专门针对本项目且阐述明晰、全面、合理得8分，每缺一项内容扣2分，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编制完善的质量保证措施，内容包含:①质量管理制度②确保质量的技术组织措施③施工质量控制措施④施工检测及工序交验方案等。以上内容专门针对本项目且阐述明晰、全面、合理得8分，每缺一项内容扣2分，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项目部人员配备</w:t>
            </w:r>
          </w:p>
        </w:tc>
        <w:tc>
          <w:tcPr>
            <w:tcW w:type="dxa" w:w="2492"/>
          </w:tcPr>
          <w:p>
            <w:pPr>
              <w:pStyle w:val="null3"/>
            </w:pPr>
            <w:r>
              <w:rPr>
                <w:rFonts w:ascii="仿宋_GB2312" w:hAnsi="仿宋_GB2312" w:cs="仿宋_GB2312" w:eastAsia="仿宋_GB2312"/>
              </w:rPr>
              <w:t>内容至少包括①项目管理机构配备情况②岗位安排及职责③管理制度④相应的协调措施等。以上内容专门针对本项目且阐述明晰、全面、合理得8分，每缺一项内容扣2分，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供应商针对本项目编制完善的资源配置计划，内容包含:①施工机械设备投入计划②主要施工材料供应计划③劳动力资源配置等。以上内容专门针对本项目且阐述明晰、全面、合理得6分，每缺一项内容扣2分，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供应商针对本项目编制应急保障措施，内容包含:①组织指挥与快速响应保障②专业抢修队伍保障③临时排水及供电保障等。以上内容专门针对本项目且阐述明晰、全面、合理得6分，每缺一项内容扣2分，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提供2023年6月1日至今类似业绩（以合同签订日期为准），每份合格业绩合同得2分，满分6分。备注：业绩证明材料包括业绩合同完整版。</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结合本项目的实际，供应商应依据国家相关规定对工程质量编制保修方案，内容包含:①工程验收方案②维修措施③保修承诺等。以上内容专门针对本项目且阐述明晰、全面、合理得6分，每缺一项内容扣2分，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已标价的工程量清单.pdf</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磋商响应文件，其投标报价为有效响应报价。2.综合评分法中的价格分统一采用低价优先法计算，即满足磋商文件要求且最后报价最低的供应商的价格为磋商基准价，其价格分为满分。其他供应商的价格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已标价的工程量清单.pdf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详见附件：承诺书.pdf</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详见附件：已标价的工程量清单.pdf</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详见附件：已标价工程量清单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