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版本号：CZCCFY(2026)QD-120260820001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2026年澄城县提前批次财政常态化帮扶资金庄头镇堡城村衬砌渠道项目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CZCCFY(2026)QD-1</w:t>
      </w:r>
      <w:r>
        <w:br/>
      </w:r>
      <w:r>
        <w:br/>
      </w:r>
      <w:r>
        <w:br/>
      </w:r>
    </w:p>
    <w:p>
      <w:pPr>
        <w:pStyle w:val="null3"/>
        <w:jc w:val="center"/>
        <w:outlineLvl w:val="2"/>
      </w:pPr>
      <w:r>
        <w:rPr>
          <w:rFonts w:ascii="仿宋_GB2312" w:hAnsi="仿宋_GB2312" w:cs="仿宋_GB2312" w:eastAsia="仿宋_GB2312"/>
          <w:sz w:val="28"/>
          <w:b/>
        </w:rPr>
        <w:t>澄城县水旱灾害防御中心</w:t>
      </w:r>
    </w:p>
    <w:p>
      <w:pPr>
        <w:pStyle w:val="null3"/>
        <w:jc w:val="center"/>
        <w:outlineLvl w:val="2"/>
      </w:pPr>
      <w:r>
        <w:rPr>
          <w:rFonts w:ascii="仿宋_GB2312" w:hAnsi="仿宋_GB2312" w:cs="仿宋_GB2312" w:eastAsia="仿宋_GB2312"/>
          <w:sz w:val="28"/>
          <w:b/>
        </w:rPr>
        <w:t>澄城县政府采购中心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澄城县政府采购中心</w:t>
      </w:r>
      <w:r>
        <w:rPr>
          <w:rFonts w:ascii="仿宋_GB2312" w:hAnsi="仿宋_GB2312" w:cs="仿宋_GB2312" w:eastAsia="仿宋_GB2312"/>
        </w:rPr>
        <w:t>（以下简称“代理机构”）受</w:t>
      </w:r>
      <w:r>
        <w:rPr>
          <w:rFonts w:ascii="仿宋_GB2312" w:hAnsi="仿宋_GB2312" w:cs="仿宋_GB2312" w:eastAsia="仿宋_GB2312"/>
        </w:rPr>
        <w:t>澄城县水旱灾害防御中心</w:t>
      </w:r>
      <w:r>
        <w:rPr>
          <w:rFonts w:ascii="仿宋_GB2312" w:hAnsi="仿宋_GB2312" w:cs="仿宋_GB2312" w:eastAsia="仿宋_GB2312"/>
        </w:rPr>
        <w:t>委托，拟对</w:t>
      </w:r>
      <w:r>
        <w:rPr>
          <w:rFonts w:ascii="仿宋_GB2312" w:hAnsi="仿宋_GB2312" w:cs="仿宋_GB2312" w:eastAsia="仿宋_GB2312"/>
        </w:rPr>
        <w:t>2026年澄城县提前批次财政常态化帮扶资金庄头镇堡城村衬砌渠道项目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CZCCFY(2026)QD-1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2026年澄城县提前批次财政常态化帮扶资金庄头镇堡城村衬砌渠道项目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新建钢筋混凝土矩形渠道353米(规格:上口宽2米、下口宽2米、高2.5米)，新建混凝土消力池2座(规格:长20米×宽2米×深3米)。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采购包1（2026年澄城县提前批次财政常态化帮扶资金庄头镇堡城村衬砌渠道项目）：属于专门面向中小企业采购。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1、供应商资质：供应商须具备建设行政主管部门颁发的市政公用工程施工或水利水电工程施工总承包三级及以上资质；具有有效的安全生产许可证；</w:t>
      </w:r>
    </w:p>
    <w:p>
      <w:pPr>
        <w:pStyle w:val="null3"/>
      </w:pPr>
      <w:r>
        <w:rPr>
          <w:rFonts w:ascii="仿宋_GB2312" w:hAnsi="仿宋_GB2312" w:cs="仿宋_GB2312" w:eastAsia="仿宋_GB2312"/>
        </w:rPr>
        <w:t>2、拟派项目负责人资质和专业要求以及专业等级：供应商拟派项目负责人具有市政公用工程或水利水电工程专业二级及以上注册建造师执业资格和有效的安全生产考核合格证书，本单位注册且无在建工程；</w:t>
      </w:r>
    </w:p>
    <w:p>
      <w:pPr>
        <w:pStyle w:val="null3"/>
      </w:pPr>
      <w:r>
        <w:rPr>
          <w:rFonts w:ascii="仿宋_GB2312" w:hAnsi="仿宋_GB2312" w:cs="仿宋_GB2312" w:eastAsia="仿宋_GB2312"/>
        </w:rPr>
        <w:t>3、法定代表人身份证明/法定代表人授权委托书：法定代表人授权委托书（附法定代表人、被授 权人身份证复印件并加盖投标人公章），（法 定代表 人参加投标只须提供法定代表人身份证 明及身份证复印件并加盖投标人公章）；（注 ：被授权人须 为本单位在职员工并提供投标截 止日前三个月内任意一个月的社会保障资金凭 证并加盖投标人公章 ）</w:t>
      </w:r>
    </w:p>
    <w:p>
      <w:pPr>
        <w:pStyle w:val="null3"/>
      </w:pPr>
      <w:r>
        <w:rPr>
          <w:rFonts w:ascii="仿宋_GB2312" w:hAnsi="仿宋_GB2312" w:cs="仿宋_GB2312" w:eastAsia="仿宋_GB2312"/>
        </w:rPr>
        <w:t>4、信用信息：供应商不得为“中国执行信息公开网”（http://z xgk.court.gov.cn/）中列入失信被执行人和“ 信用 中国网站”（www.creditchina.gov.cn） 重大税收违法案件当事人名单的供应商，不得 为中国政 府采购网（www.ccgp.gov.cn）政府 采购严重违法失信行为记录名单中被财政部门 禁止参加政府 采购活动的供应商；（提供查询 结果网页截图，并加盖投标人公章）</w:t>
      </w:r>
    </w:p>
    <w:p>
      <w:pPr>
        <w:pStyle w:val="null3"/>
      </w:pPr>
      <w:r>
        <w:rPr>
          <w:rFonts w:ascii="仿宋_GB2312" w:hAnsi="仿宋_GB2312" w:cs="仿宋_GB2312" w:eastAsia="仿宋_GB2312"/>
        </w:rPr>
        <w:t>5、非联合体声明：本项目不接受联合体投标。（提供非联合体声明, 格式自拟加盖投标人公章）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澄城县水旱灾害防御中心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澄城县宝塔路东段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18191846888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澄城县政府采购中心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澄城县古徵街北段财政局大楼四楼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蒋女士、权女士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0913-6868979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澄城县财政局采购管理股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雷女士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0913-6868908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澄城县水旱灾害防御中心</w:t>
      </w:r>
      <w:r>
        <w:rPr>
          <w:rFonts w:ascii="仿宋_GB2312" w:hAnsi="仿宋_GB2312" w:cs="仿宋_GB2312" w:eastAsia="仿宋_GB2312"/>
        </w:rPr>
        <w:t>和</w:t>
      </w:r>
      <w:r>
        <w:rPr>
          <w:rFonts w:ascii="仿宋_GB2312" w:hAnsi="仿宋_GB2312" w:cs="仿宋_GB2312" w:eastAsia="仿宋_GB2312"/>
        </w:rPr>
        <w:t>澄城县政府采购中心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澄城县水旱灾害防御中心</w:t>
      </w:r>
      <w:r>
        <w:rPr>
          <w:rFonts w:ascii="仿宋_GB2312" w:hAnsi="仿宋_GB2312" w:cs="仿宋_GB2312" w:eastAsia="仿宋_GB2312"/>
        </w:rPr>
        <w:t>负责解释。除上述磋商文件内容，其他内容由</w:t>
      </w:r>
      <w:r>
        <w:rPr>
          <w:rFonts w:ascii="仿宋_GB2312" w:hAnsi="仿宋_GB2312" w:cs="仿宋_GB2312" w:eastAsia="仿宋_GB2312"/>
        </w:rPr>
        <w:t>澄城县政府采购中心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澄城县水旱灾害防御中心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澄城县政府采购中心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一、供应商应保证在本项目中使用的任何技术、产品和服务（包括部分使用），不会产生因第三方提出侵犯其专利权、商标权或其它知识产权而引起的法律和经济纠纷，如因专利权、商标权或其它知识产权而 引起法律和经济纠纷，由供应商承担所有相关责任。采购人享有本项目实施过程中产生的知识成果及知识产权。 二、供应商 将在采购项目实施过程中采用自有或者第三方知识成果的，使用该知识成果后，供应商需提供开发接口和开发手册等技术资 料，并承诺提供无限期支持，采购人享有使用权（含采购人委托第三方在该项目后续开发的使用权）。 三、如采用供应商所 不拥有的知识产权，则在报价中必须包括合法使用该知识产权的相关费用。 四、构成本磋商文件的各组成部分，未经采购人 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澄城县水旱灾害防御中心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澄城县水旱灾害防御中心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澄城县水旱灾害防御中心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联系人：李先生</w:t>
      </w:r>
    </w:p>
    <w:p>
      <w:pPr>
        <w:pStyle w:val="null3"/>
      </w:pPr>
      <w:r>
        <w:rPr>
          <w:rFonts w:ascii="仿宋_GB2312" w:hAnsi="仿宋_GB2312" w:cs="仿宋_GB2312" w:eastAsia="仿宋_GB2312"/>
        </w:rPr>
        <w:t>联系电话：18191846888</w:t>
      </w:r>
    </w:p>
    <w:p>
      <w:pPr>
        <w:pStyle w:val="null3"/>
      </w:pPr>
      <w:r>
        <w:rPr>
          <w:rFonts w:ascii="仿宋_GB2312" w:hAnsi="仿宋_GB2312" w:cs="仿宋_GB2312" w:eastAsia="仿宋_GB2312"/>
        </w:rPr>
        <w:t>地址：澄城县宝塔路东段</w:t>
      </w:r>
    </w:p>
    <w:p>
      <w:pPr>
        <w:pStyle w:val="null3"/>
      </w:pPr>
      <w:r>
        <w:rPr>
          <w:rFonts w:ascii="仿宋_GB2312" w:hAnsi="仿宋_GB2312" w:cs="仿宋_GB2312" w:eastAsia="仿宋_GB2312"/>
        </w:rPr>
        <w:t>邮编：715200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1,199,981.53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2026年澄城县提前批次财政常态化帮扶资金庄头镇堡城村衬砌渠道项目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标的名称：2026年澄城县提前批次财政常态化帮扶资金庄头镇堡城村衬砌渠道项目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both"/>
            </w:pPr>
            <w:r>
              <w:rPr>
                <w:rFonts w:ascii="仿宋_GB2312" w:hAnsi="仿宋_GB2312" w:cs="仿宋_GB2312" w:eastAsia="仿宋_GB2312"/>
                <w:sz w:val="28"/>
                <w:b/>
                <w:color w:val="000000"/>
              </w:rPr>
              <w:t>一、工程概况</w:t>
            </w:r>
          </w:p>
          <w:p>
            <w:pPr>
              <w:pStyle w:val="null3"/>
              <w:ind w:firstLine="560"/>
              <w:jc w:val="both"/>
            </w:pPr>
            <w:r>
              <w:rPr>
                <w:rFonts w:ascii="仿宋_GB2312" w:hAnsi="仿宋_GB2312" w:cs="仿宋_GB2312" w:eastAsia="仿宋_GB2312"/>
                <w:sz w:val="28"/>
                <w:color w:val="000000"/>
              </w:rPr>
              <w:t>项目概况</w:t>
            </w:r>
            <w:r>
              <w:rPr>
                <w:rFonts w:ascii="仿宋_GB2312" w:hAnsi="仿宋_GB2312" w:cs="仿宋_GB2312" w:eastAsia="仿宋_GB2312"/>
                <w:sz w:val="28"/>
                <w:color w:val="000000"/>
              </w:rPr>
              <w:t>：</w:t>
            </w:r>
            <w:r>
              <w:rPr>
                <w:rFonts w:ascii="仿宋_GB2312" w:hAnsi="仿宋_GB2312" w:cs="仿宋_GB2312" w:eastAsia="仿宋_GB2312"/>
                <w:sz w:val="28"/>
                <w:color w:val="000000"/>
              </w:rPr>
              <w:t>2026年4月10日，澄城县农业农村局、澄城县财政局《关于下达澄城县2026年度提前批次财政常态化帮扶资金项目计划的通知》（澄政农发〔2026〕21号）文件，下达资金120万元；2026年4月，我单位委托设计单位编制了《澄城县庄头镇堡城村衬砌渠道项目实施方案》，本工程建设，能够保障堡城村耕地及粮食安全，维护社会稳定，对当地群众农业生产具有重要作用，对周围村庄经济发展和下游防洪安全具有重要作用。主要建设内容为：新建钢筋混凝土矩形渠道353米(规格:上口宽2米、下口宽2米、高2.5米)，新建混凝土消力池2座(规格:长20米×宽2米×深3米)。</w:t>
            </w:r>
          </w:p>
          <w:p>
            <w:pPr>
              <w:pStyle w:val="null3"/>
              <w:ind w:firstLine="560"/>
              <w:jc w:val="both"/>
            </w:pPr>
            <w:r>
              <w:rPr>
                <w:rFonts w:ascii="仿宋_GB2312" w:hAnsi="仿宋_GB2312" w:cs="仿宋_GB2312" w:eastAsia="仿宋_GB2312"/>
                <w:sz w:val="28"/>
                <w:color w:val="000000"/>
              </w:rPr>
              <w:t>建设地点：澄城县庄头镇</w:t>
            </w:r>
          </w:p>
          <w:p>
            <w:pPr>
              <w:pStyle w:val="null3"/>
              <w:ind w:firstLine="562"/>
              <w:jc w:val="both"/>
            </w:pPr>
            <w:r>
              <w:rPr>
                <w:rFonts w:ascii="仿宋_GB2312" w:hAnsi="仿宋_GB2312" w:cs="仿宋_GB2312" w:eastAsia="仿宋_GB2312"/>
                <w:sz w:val="28"/>
                <w:b/>
                <w:color w:val="000000"/>
              </w:rPr>
              <w:t>二、计划工期</w:t>
            </w:r>
          </w:p>
          <w:p>
            <w:pPr>
              <w:pStyle w:val="null3"/>
              <w:ind w:firstLine="560"/>
              <w:jc w:val="both"/>
            </w:pPr>
            <w:r>
              <w:rPr>
                <w:rFonts w:ascii="仿宋_GB2312" w:hAnsi="仿宋_GB2312" w:cs="仿宋_GB2312" w:eastAsia="仿宋_GB2312"/>
                <w:sz w:val="28"/>
                <w:color w:val="000000"/>
              </w:rPr>
              <w:t>自合同签订之日起</w:t>
            </w:r>
            <w:r>
              <w:rPr>
                <w:rFonts w:ascii="仿宋_GB2312" w:hAnsi="仿宋_GB2312" w:cs="仿宋_GB2312" w:eastAsia="仿宋_GB2312"/>
                <w:sz w:val="28"/>
                <w:color w:val="000000"/>
              </w:rPr>
              <w:t>4个月</w:t>
            </w:r>
          </w:p>
          <w:p>
            <w:pPr>
              <w:pStyle w:val="null3"/>
              <w:ind w:firstLine="560"/>
              <w:jc w:val="both"/>
            </w:pPr>
            <w:r>
              <w:rPr>
                <w:rFonts w:ascii="仿宋_GB2312" w:hAnsi="仿宋_GB2312" w:cs="仿宋_GB2312" w:eastAsia="仿宋_GB2312"/>
                <w:sz w:val="28"/>
                <w:b/>
                <w:color w:val="000000"/>
              </w:rPr>
              <w:t>三、商务要求</w:t>
            </w:r>
          </w:p>
          <w:p>
            <w:pPr>
              <w:pStyle w:val="null3"/>
              <w:ind w:firstLine="560"/>
            </w:pPr>
            <w:r>
              <w:rPr>
                <w:rFonts w:ascii="仿宋_GB2312" w:hAnsi="仿宋_GB2312" w:cs="仿宋_GB2312" w:eastAsia="仿宋_GB2312"/>
                <w:sz w:val="28"/>
                <w:color w:val="000000"/>
              </w:rPr>
              <w:t>1、预付款，合同签订后，达到付款条件起30个工作日内，支付合同总金额的30%。</w:t>
            </w:r>
          </w:p>
          <w:p>
            <w:pPr>
              <w:pStyle w:val="null3"/>
              <w:ind w:firstLine="560"/>
            </w:pPr>
            <w:r>
              <w:rPr>
                <w:rFonts w:ascii="仿宋_GB2312" w:hAnsi="仿宋_GB2312" w:cs="仿宋_GB2312" w:eastAsia="仿宋_GB2312"/>
                <w:sz w:val="28"/>
                <w:color w:val="000000"/>
              </w:rPr>
              <w:t>2、进度款，项目完成、验收合格后，达到付款条件起10个工作日内，支付合同总金额的67.0%。</w:t>
            </w:r>
          </w:p>
          <w:p>
            <w:pPr>
              <w:pStyle w:val="null3"/>
              <w:ind w:firstLine="560"/>
            </w:pPr>
            <w:r>
              <w:rPr>
                <w:rFonts w:ascii="仿宋_GB2312" w:hAnsi="仿宋_GB2312" w:cs="仿宋_GB2312" w:eastAsia="仿宋_GB2312"/>
                <w:sz w:val="28"/>
                <w:color w:val="000000"/>
              </w:rPr>
              <w:t>3、进度款，壹年后无质量问题，达到付款条件起30个工作日内，支付合同总金额的3.0%。</w:t>
            </w:r>
          </w:p>
          <w:p>
            <w:pPr>
              <w:pStyle w:val="null3"/>
              <w:ind w:firstLine="562"/>
              <w:jc w:val="both"/>
            </w:pPr>
            <w:r>
              <w:rPr>
                <w:rFonts w:ascii="仿宋_GB2312" w:hAnsi="仿宋_GB2312" w:cs="仿宋_GB2312" w:eastAsia="仿宋_GB2312"/>
                <w:sz w:val="28"/>
                <w:b/>
                <w:color w:val="000000"/>
              </w:rPr>
              <w:t>四、其他</w:t>
            </w:r>
          </w:p>
          <w:p>
            <w:pPr>
              <w:pStyle w:val="null3"/>
              <w:ind w:firstLine="560"/>
            </w:pPr>
            <w:r>
              <w:rPr>
                <w:rFonts w:ascii="仿宋_GB2312" w:hAnsi="仿宋_GB2312" w:cs="仿宋_GB2312" w:eastAsia="仿宋_GB2312"/>
                <w:sz w:val="28"/>
                <w:color w:val="000000"/>
              </w:rPr>
              <w:t>1.质量验收标准或规范：现行的国家标准或国家行政部门颁布的法律法规、规章制度等，是项目验收的另一个重要依据。没有国家标准的，可以参考行业标准。</w:t>
            </w:r>
          </w:p>
          <w:p>
            <w:pPr>
              <w:pStyle w:val="null3"/>
              <w:ind w:firstLine="560"/>
            </w:pPr>
            <w:r>
              <w:rPr>
                <w:rFonts w:ascii="仿宋_GB2312" w:hAnsi="仿宋_GB2312" w:cs="仿宋_GB2312" w:eastAsia="仿宋_GB2312"/>
                <w:sz w:val="28"/>
                <w:color w:val="000000"/>
              </w:rPr>
              <w:t>2.质保期：竣工验收合格之日起，质保1年。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工程质量标准国家相关标准、行业标准、地方标准或者其他标准、规范标准；工程期限符合工期要求；工程质量保证满足期限和使用功能等。</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详见磋商文件</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供应商需在项目电子化交易系统中按要求填写《响应函》完成承诺并进行电子签章。(1)具有 独立承担民事责任能力，提供供应商合法注册 的法人或其他组织的营业执照； (2)财务状况证明：提供2025年度经审计的财务报告（包含审计报告和审计报告中所涉及的财务报表和报表附注）或提供2025年度完整的全套财务报表（ 应当包括资产负债表、利润表、现金流量表、 所有者权益变动表、附注）或开标前六个月内 基本存款账户开户银行出具的资信证明（附开户许可证或基本存款账户信息）(供应商注册时 间截至开标时间不足一年的，也可提供在工商 管理部门备案的公司章程。）； (3)提供具有履行合同所必需的设备和专业技术能力的说明及 承诺；（详见附件，加盖投标人公章） (4)税收缴纳证明：提供投标 截止时间前六个月内任意一个月的纳税证明或 完税证明；（以税款所属期为准，依法免税的 应提供相关证明材料） (5)社会保障资金缴纳证明：供应商提供本单位2026年01月至今已缴纳的至少一个月的社会保障资金缴存单据或社保 机构开具的社会保险参保缴费情况证明；（依 法不需要缴纳社会保障资金的投标人应提供相 关证明） (6)提供参加政府采购活动前三年内在经营活动中没有重大违法记录的书面声明；（详见附件，加盖投标人公章）</w:t>
            </w:r>
          </w:p>
        </w:tc>
        <w:tc>
          <w:tcPr>
            <w:tcW w:type="dxa" w:w="1661"/>
          </w:tcPr>
          <w:p>
            <w:pPr>
              <w:pStyle w:val="null3"/>
            </w:pPr>
            <w:r>
              <w:rPr>
                <w:rFonts w:ascii="仿宋_GB2312" w:hAnsi="仿宋_GB2312" w:cs="仿宋_GB2312" w:eastAsia="仿宋_GB2312"/>
              </w:rPr>
              <w:t>一般资格要求.docx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供应商需在项目电子化交易系统中按要求填写《响应函》完成承诺并进行电子签章。(7)单位负责人 为同一人或者存在直接控股、管理关系的不同 供应商不得参加同一合同项下的政府采购活动 ；（提供承诺函，格式自拟加盖投标人公章） ( 8)为本项目提供整体设计、规范编制或者项目 管理、监理、检测等服务的供应商，不得再参加该采购项目的其他采购活动。（提供承诺函, 格式自拟加 盖投标人公章）</w:t>
            </w:r>
          </w:p>
        </w:tc>
        <w:tc>
          <w:tcPr>
            <w:tcW w:type="dxa" w:w="1661"/>
          </w:tcPr>
          <w:p>
            <w:pPr>
              <w:pStyle w:val="null3"/>
            </w:pPr>
            <w:r>
              <w:rPr>
                <w:rFonts w:ascii="仿宋_GB2312" w:hAnsi="仿宋_GB2312" w:cs="仿宋_GB2312" w:eastAsia="仿宋_GB2312"/>
              </w:rPr>
              <w:t>一般资格要求.docx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供应商须具备建设行政主管部门颁发的市政公用工程施工或水利水电工程施工总承包三级及以上资质；具有有效的安全生产许可证；</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拟派项目负责人资质和专业要求以及专业等级</w:t>
            </w:r>
          </w:p>
        </w:tc>
        <w:tc>
          <w:tcPr>
            <w:tcW w:type="dxa" w:w="3322"/>
          </w:tcPr>
          <w:p>
            <w:pPr>
              <w:pStyle w:val="null3"/>
            </w:pPr>
            <w:r>
              <w:rPr>
                <w:rFonts w:ascii="仿宋_GB2312" w:hAnsi="仿宋_GB2312" w:cs="仿宋_GB2312" w:eastAsia="仿宋_GB2312"/>
              </w:rPr>
              <w:t>供应商拟派项目负责人具有市政公用工程或水利水电工程专业二级及以上注册建造师执业资格和有效的安全生产考核合格证书，本单位注册且无在建工程；</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法定代表人授权委托书（附法定代表人、被授 权人身份证复印件并加盖投标人公章），（法 定代表 人参加投标只须提供法定代表人身份证 明及身份证复印件并加盖投标人公章）；（注 ：被授权人须 为本单位在职员工并提供投标截 止日前三个月内任意一个月的社会保障资金凭 证并加盖投标人公章 ）</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供应商不得为“中国执行信息公开网”（http://z xgk.court.gov.cn/）中列入失信被执行人和“ 信用 中国网站”（www.creditchina.gov.cn） 重大税收违法案件当事人名单的供应商，不得 为中国政 府采购网（www.ccgp.gov.cn）政府 采购严重违法失信行为记录名单中被财政部门 禁止参加政府 采购活动的供应商；（提供查询 结果网页截图，并加盖投标人公章）</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本项目不接受联合体投标。（提供非联合体声明, 格式自拟加盖投标人公章）</w:t>
            </w:r>
          </w:p>
        </w:tc>
        <w:tc>
          <w:tcPr>
            <w:tcW w:type="dxa" w:w="1661"/>
          </w:tcPr>
          <w:p>
            <w:pPr>
              <w:pStyle w:val="null3"/>
            </w:pPr>
            <w:r>
              <w:rPr>
                <w:rFonts w:ascii="仿宋_GB2312" w:hAnsi="仿宋_GB2312" w:cs="仿宋_GB2312" w:eastAsia="仿宋_GB2312"/>
              </w:rPr>
              <w:t>特殊资格要求.docx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中小企业声明函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磋商报价符合唯一性要求： 开标一览表填写符合要求； 计量单位、报价货币均符合磋商文件要求； 未超出采购预算或采购文件规定的最高限价。</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响应文件响应内容的完整性、响应性</w:t>
            </w:r>
          </w:p>
        </w:tc>
        <w:tc>
          <w:tcPr>
            <w:tcW w:type="dxa" w:w="3322"/>
          </w:tcPr>
          <w:p>
            <w:pPr>
              <w:pStyle w:val="null3"/>
            </w:pPr>
            <w:r>
              <w:rPr>
                <w:rFonts w:ascii="仿宋_GB2312" w:hAnsi="仿宋_GB2312" w:cs="仿宋_GB2312" w:eastAsia="仿宋_GB2312"/>
              </w:rPr>
              <w:t>响应文件内容完整无缺漏。实质性条款全部响应。无采购人不能接受的附加条件。</w:t>
            </w:r>
          </w:p>
        </w:tc>
        <w:tc>
          <w:tcPr>
            <w:tcW w:type="dxa" w:w="1661"/>
          </w:tcPr>
          <w:p>
            <w:pPr>
              <w:pStyle w:val="null3"/>
            </w:pPr>
            <w:r>
              <w:rPr>
                <w:rFonts w:ascii="仿宋_GB2312" w:hAnsi="仿宋_GB2312" w:cs="仿宋_GB2312" w:eastAsia="仿宋_GB2312"/>
              </w:rPr>
              <w:t>响应文件封面 项目管理机构组成表 主要人员简历表 强制优先采购产品承诺函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其他事项</w:t>
            </w:r>
          </w:p>
        </w:tc>
        <w:tc>
          <w:tcPr>
            <w:tcW w:type="dxa" w:w="3322"/>
          </w:tcPr>
          <w:p>
            <w:pPr>
              <w:pStyle w:val="null3"/>
            </w:pPr>
            <w:r>
              <w:rPr>
                <w:rFonts w:ascii="仿宋_GB2312" w:hAnsi="仿宋_GB2312" w:cs="仿宋_GB2312" w:eastAsia="仿宋_GB2312"/>
              </w:rPr>
              <w:t>没有不符合竞争性磋商文件规定的被视为无效响应的其他条款。</w:t>
            </w:r>
          </w:p>
        </w:tc>
        <w:tc>
          <w:tcPr>
            <w:tcW w:type="dxa" w:w="1661"/>
          </w:tcPr>
          <w:p>
            <w:pPr>
              <w:pStyle w:val="null3"/>
            </w:pPr>
            <w:r>
              <w:rPr>
                <w:rFonts w:ascii="仿宋_GB2312" w:hAnsi="仿宋_GB2312" w:cs="仿宋_GB2312" w:eastAsia="仿宋_GB2312"/>
              </w:rPr>
              <w:t>响应文件封面 技术响应文件.docx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 内容包含：①施工目标: 成本目标、工期目标、质量目标②施工准备：技术准备、材料准备、 机械准备、机具准备③施工平面布置与安排：现场围挡及出入口管理、交通组织安排、消防及道路安排。 二、评审标准 1、完整性：方案必须全面，对评审内容中的各项要求有详细描述； 2、可实施性：切合本项目实际情况，提出步骤清晰、合理的方案； 3、针对性：方案能够紧扣项目实际情况， 内容科学合理。 上述3项评审内容全部满足评审标准得9分，每有一个评审内容缺项扣3分，每有一项评审内容存在缺陷，扣0.5-1分，扣完为止。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供应商针对本项目编制完善的施工进度计划，内容包含：①施工进度计划横道图②进度计划保证措施③工期保证措施。 二、评审标准 1、完整性：方案必须全面，对评审内容中的各项要求有详细描述； 2、可实施性：切合本项目实际情况，提出步骤清晰、合理的方案； 3、针对性：方案能够紧扣项目实际情况， 内容科学合理。上述3项评审内容全部满足评审标准得9分，每有一个评审内容缺项扣3分，每有一项评审内容存在缺陷，扣0.5-1分，扣完为止。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 供应商针对本项目编制完善的分部分项工程施工方案，内容包含： ①工程重难点及解决措施②分部分项工程施工方法③施工质量通病防治措施。 二、评审标准 1、完整性：方案必须全面，对评审内容中的各项要求有详细描述； 2、可实施性：切合本项目实际情况，提出步骤清晰、合理的方案； 3、针对性：方案能够紧扣项目实际情况，内容科学合理。上述3项评审内容全部满足评审标准得9分，每有一个评审内容缺项扣3分，每有一项评审内容存在缺陷，扣0.5-1分，扣完为止。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供应商针对本项目编制完善的质量保证措施，内容包含：①质量目标管理体系②施工质量的检验制度③确保质量的技术组织措施④施工质量控制措施。 二、评审标准 1、完整性：方案必须全面，对评审内容中的各项要求有详细描述； 2、可实施性：切合本项目实际情况，提出步骤清晰、合理的方案； 3、针对性：方案能够紧扣项目实际情况， 内容科学合理。 上述4项评审内容全部满足评审标准得6分，每有一个评审内容缺项扣1.5分，每有一项评审内容存在缺陷，扣0.5-1分，扣完为止。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供应商针对本项目编制完整的安全施工措施，内容包含：①安全生产管理制度②安全施工措施③安全应急预案④安全生产教育。 二、评审标准 1、完整性：方案必须全面，对评审内容中的各项要求有详细描述； 2、可实施性：切合本项目实际情况，提出步骤清晰、合理的方案； 3、针对性：方案能够紧扣项目实际情况， 内容科学合理。 上述4项评审内容全部满足评审标准得6分，每有一个评审内容缺项扣1.5分，每有一项评审内容存在缺陷，扣0.5-1分，扣完为止。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供应商针对本项目编制完整的文明施工措施，内容包含：①文明施工管理目标及技术措施②文明施工现场管理：材料管理、防扰民措施。 二、评审标准 1、完整性：方案必须全面，对评审内容中的各项要求有详细描述； 2、可实施性：切合本项目实际情况，提出步骤清晰、合理的方案； 3、针对性：方案能够紧扣项目实际情况，内容科学合理。上述2项评审内容全部满足评审标准得3分，每有一个评审内容缺项扣1.5分，每有一项评审内容存在缺陷，扣0.5-1分，扣完为止。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 供应商针对本项目编制主要管理措施，内容包含：①成品保护措施②季节性施工措施③消防保卫措施④环境保护措施。 二、评审标准 1、完整性：方案必须全面，对评审内容中的各项要求有详细描述； 2、可实施性：切合本项目实际情况，提出步骤清晰、合理的方案； 3、针对性：方案能够紧扣项目实际情况，内容科学合理。 上述4项评审内容全部满足评审标准得6分，每有一个评审内容缺项扣1.5分，每有一项评审内容存在缺陷，扣0.5-1分，扣完为止。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供应商针对本项目编制科学的项目管理机构，内容包含：①管理机构的配备计划②组织机构的岗位职责。 二、评审标准 1、完整性：方案必须全面，对评审内容中的各项要求有详细描述； 2、可实施性：切合本项目实际情况，提出步骤清晰、合理的方案； 3、针对性：方案能够紧扣项目实际情况，内容科学合理。 上述2项评审内容全部满足评审标准得6分，每有一个评审内容缺项扣3分，每有一项评审内容存在缺陷，扣0.5-1分，扣完为止。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新材料新技术新工艺</w:t>
            </w:r>
          </w:p>
        </w:tc>
        <w:tc>
          <w:tcPr>
            <w:tcW w:type="dxa" w:w="2492"/>
          </w:tcPr>
          <w:p>
            <w:pPr>
              <w:pStyle w:val="null3"/>
            </w:pPr>
            <w:r>
              <w:rPr>
                <w:rFonts w:ascii="仿宋_GB2312" w:hAnsi="仿宋_GB2312" w:cs="仿宋_GB2312" w:eastAsia="仿宋_GB2312"/>
              </w:rPr>
              <w:t>一、评审内容 针对本项目具有①新材料的应用情况②新技术和新工艺的应用情况。 二、评审标准 1、完整性：方案必须全面，对评审内容中的各项要求有详细描述； 2、可实施性：切合本项目实际情况，提出步骤清晰、合理的方案； 3、针对性：方案能够紧扣项目实际情况，内容科学合理。上述2项评审内容全部满足评审标准得3分，每有一个评审内容缺项扣1.5分，每有一项评审内容存在缺陷，扣0.5-1分，扣完为止。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供应商提供所用材料属于环境标志产品政府采购清单中的产品（包括但不限于水、暖、电、水泥等施工所需的所有基础材料），每提供 1 种环保产品的环境标志产品认证证书得1分，满分2分。 注：以加盖供应商公章的复印件为计分依据。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技术响应文件.docx</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验收维护方案</w:t>
            </w:r>
          </w:p>
        </w:tc>
        <w:tc>
          <w:tcPr>
            <w:tcW w:type="dxa" w:w="2492"/>
          </w:tcPr>
          <w:p>
            <w:pPr>
              <w:pStyle w:val="null3"/>
            </w:pPr>
            <w:r>
              <w:rPr>
                <w:rFonts w:ascii="仿宋_GB2312" w:hAnsi="仿宋_GB2312" w:cs="仿宋_GB2312" w:eastAsia="仿宋_GB2312"/>
              </w:rPr>
              <w:t>一、评审内容结合本项目的实际，供应商应依据国家相关规定提出工程验收维护方案，内容包含：①验收方案②维修措施 二、评审标准 1、完整性：内容必须全面，对评审内容中的各项要求有详细描述； 2、落实性：切合项目具体情况，提出责任明确、要求具体的方案； 3、针对性：内容能够紧扣项目实际情况，内容科学合理。上述2项评审内容全部满足评审标准得3分，每有一个评审内容缺项扣1.5分，每有一项评审内容存在缺陷，扣0.5-1分，扣完为止。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提供2024年1月1日起至今同类项目业绩（附合同复印件或中标通知 书，时间以合同签订时间或中标通 知书时间为准），每提供一个计1分，总分3分，不提供不得分。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最后磋商报价为有效磋商报价，价格得分采用低价优先法计算，即满足磋商文件要求且最终报价最低的供应商的价格为磋商基准价，其价格得分为满分。其他供应商的价格得分统一按照下列公式计算：磋商报价得分=（磋商基准价/最终磋商报价）*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详见附件：技术响应文件.docx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