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8B4F1">
      <w:pPr>
        <w:pStyle w:val="4"/>
        <w:jc w:val="center"/>
        <w:outlineLvl w:val="1"/>
      </w:pPr>
      <w:r>
        <w:rPr>
          <w:rFonts w:ascii="仿宋_GB2312" w:hAnsi="仿宋_GB2312" w:eastAsia="仿宋_GB2312" w:cs="仿宋_GB2312"/>
          <w:b/>
          <w:sz w:val="36"/>
        </w:rPr>
        <w:t>第三章 磋商项目技术、服务、商务及其他要求</w:t>
      </w:r>
    </w:p>
    <w:p w14:paraId="16B5329E">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85111AF">
      <w:pPr>
        <w:pStyle w:val="4"/>
        <w:outlineLvl w:val="2"/>
      </w:pPr>
      <w:r>
        <w:rPr>
          <w:rFonts w:ascii="仿宋_GB2312" w:hAnsi="仿宋_GB2312" w:eastAsia="仿宋_GB2312" w:cs="仿宋_GB2312"/>
          <w:b/>
          <w:sz w:val="28"/>
        </w:rPr>
        <w:t>3.1技术、服务标准和要求</w:t>
      </w:r>
    </w:p>
    <w:p w14:paraId="6BA21F2F">
      <w:pPr>
        <w:pStyle w:val="4"/>
      </w:pPr>
      <w:r>
        <w:rPr>
          <w:rFonts w:ascii="仿宋_GB2312" w:hAnsi="仿宋_GB2312" w:eastAsia="仿宋_GB2312" w:cs="仿宋_GB2312"/>
        </w:rPr>
        <w:t>采购包1：</w:t>
      </w:r>
    </w:p>
    <w:p w14:paraId="631DA8DB">
      <w:pPr>
        <w:pStyle w:val="4"/>
      </w:pPr>
      <w:r>
        <w:rPr>
          <w:rFonts w:ascii="仿宋_GB2312" w:hAnsi="仿宋_GB2312" w:eastAsia="仿宋_GB2312" w:cs="仿宋_GB2312"/>
        </w:rPr>
        <w:t>采购包预算金额（元）: 2,096,675.71</w:t>
      </w:r>
    </w:p>
    <w:p w14:paraId="0CC1700A">
      <w:pPr>
        <w:pStyle w:val="4"/>
      </w:pPr>
      <w:r>
        <w:rPr>
          <w:rFonts w:ascii="仿宋_GB2312" w:hAnsi="仿宋_GB2312" w:eastAsia="仿宋_GB2312" w:cs="仿宋_GB2312"/>
        </w:rPr>
        <w:t>采购包最高限价（元）: 2,096,675.71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416"/>
        <w:gridCol w:w="1384"/>
        <w:gridCol w:w="1384"/>
      </w:tblGrid>
      <w:tr w14:paraId="353DD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AC6FF66">
            <w:pPr>
              <w:pStyle w:val="4"/>
            </w:pPr>
            <w:r>
              <w:rPr>
                <w:rFonts w:ascii="仿宋_GB2312" w:hAnsi="仿宋_GB2312" w:eastAsia="仿宋_GB2312" w:cs="仿宋_GB2312"/>
              </w:rPr>
              <w:t>序号</w:t>
            </w:r>
          </w:p>
        </w:tc>
        <w:tc>
          <w:tcPr>
            <w:tcW w:w="1384" w:type="dxa"/>
          </w:tcPr>
          <w:p w14:paraId="2607C252">
            <w:pPr>
              <w:pStyle w:val="4"/>
            </w:pPr>
            <w:r>
              <w:rPr>
                <w:rFonts w:ascii="仿宋_GB2312" w:hAnsi="仿宋_GB2312" w:eastAsia="仿宋_GB2312" w:cs="仿宋_GB2312"/>
              </w:rPr>
              <w:t>标的名称</w:t>
            </w:r>
          </w:p>
        </w:tc>
        <w:tc>
          <w:tcPr>
            <w:tcW w:w="1384" w:type="dxa"/>
          </w:tcPr>
          <w:p w14:paraId="583FBED8">
            <w:pPr>
              <w:pStyle w:val="4"/>
            </w:pPr>
            <w:r>
              <w:rPr>
                <w:rFonts w:ascii="仿宋_GB2312" w:hAnsi="仿宋_GB2312" w:eastAsia="仿宋_GB2312" w:cs="仿宋_GB2312"/>
              </w:rPr>
              <w:t>数量</w:t>
            </w:r>
          </w:p>
        </w:tc>
        <w:tc>
          <w:tcPr>
            <w:tcW w:w="1384" w:type="dxa"/>
          </w:tcPr>
          <w:p w14:paraId="52197B44">
            <w:pPr>
              <w:pStyle w:val="4"/>
            </w:pPr>
            <w:r>
              <w:rPr>
                <w:rFonts w:ascii="仿宋_GB2312" w:hAnsi="仿宋_GB2312" w:eastAsia="仿宋_GB2312" w:cs="仿宋_GB2312"/>
              </w:rPr>
              <w:t>标的金额 （元）</w:t>
            </w:r>
          </w:p>
        </w:tc>
        <w:tc>
          <w:tcPr>
            <w:tcW w:w="1384" w:type="dxa"/>
          </w:tcPr>
          <w:p w14:paraId="2A6D49B8">
            <w:pPr>
              <w:pStyle w:val="4"/>
            </w:pPr>
            <w:r>
              <w:rPr>
                <w:rFonts w:ascii="仿宋_GB2312" w:hAnsi="仿宋_GB2312" w:eastAsia="仿宋_GB2312" w:cs="仿宋_GB2312"/>
              </w:rPr>
              <w:t>计量单位</w:t>
            </w:r>
          </w:p>
        </w:tc>
        <w:tc>
          <w:tcPr>
            <w:tcW w:w="1384" w:type="dxa"/>
          </w:tcPr>
          <w:p w14:paraId="505980EB">
            <w:pPr>
              <w:pStyle w:val="4"/>
            </w:pPr>
            <w:r>
              <w:rPr>
                <w:rFonts w:ascii="仿宋_GB2312" w:hAnsi="仿宋_GB2312" w:eastAsia="仿宋_GB2312" w:cs="仿宋_GB2312"/>
              </w:rPr>
              <w:t>所属行业</w:t>
            </w:r>
          </w:p>
        </w:tc>
      </w:tr>
      <w:tr w14:paraId="071662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2608A3F">
            <w:pPr>
              <w:pStyle w:val="4"/>
            </w:pPr>
            <w:r>
              <w:rPr>
                <w:rFonts w:ascii="仿宋_GB2312" w:hAnsi="仿宋_GB2312" w:eastAsia="仿宋_GB2312" w:cs="仿宋_GB2312"/>
              </w:rPr>
              <w:t>1</w:t>
            </w:r>
          </w:p>
        </w:tc>
        <w:tc>
          <w:tcPr>
            <w:tcW w:w="1384" w:type="dxa"/>
          </w:tcPr>
          <w:p w14:paraId="0B84EBF4">
            <w:pPr>
              <w:pStyle w:val="4"/>
            </w:pPr>
            <w:r>
              <w:rPr>
                <w:rFonts w:ascii="仿宋_GB2312" w:hAnsi="仿宋_GB2312" w:eastAsia="仿宋_GB2312" w:cs="仿宋_GB2312"/>
              </w:rPr>
              <w:t>秦渡街道禹王庙村保温大棚及配套设施建设项目</w:t>
            </w:r>
          </w:p>
        </w:tc>
        <w:tc>
          <w:tcPr>
            <w:tcW w:w="1384" w:type="dxa"/>
          </w:tcPr>
          <w:p w14:paraId="5BEA97B7">
            <w:pPr>
              <w:pStyle w:val="4"/>
              <w:jc w:val="right"/>
            </w:pPr>
            <w:r>
              <w:rPr>
                <w:rFonts w:ascii="仿宋_GB2312" w:hAnsi="仿宋_GB2312" w:eastAsia="仿宋_GB2312" w:cs="仿宋_GB2312"/>
              </w:rPr>
              <w:t>1.00</w:t>
            </w:r>
          </w:p>
        </w:tc>
        <w:tc>
          <w:tcPr>
            <w:tcW w:w="1384" w:type="dxa"/>
          </w:tcPr>
          <w:p w14:paraId="7A8961BF">
            <w:pPr>
              <w:pStyle w:val="4"/>
              <w:jc w:val="right"/>
            </w:pPr>
            <w:r>
              <w:rPr>
                <w:rFonts w:ascii="仿宋_GB2312" w:hAnsi="仿宋_GB2312" w:eastAsia="仿宋_GB2312" w:cs="仿宋_GB2312"/>
              </w:rPr>
              <w:t>2,096,675.71</w:t>
            </w:r>
          </w:p>
        </w:tc>
        <w:tc>
          <w:tcPr>
            <w:tcW w:w="1384" w:type="dxa"/>
          </w:tcPr>
          <w:p w14:paraId="07134BEE">
            <w:pPr>
              <w:pStyle w:val="4"/>
            </w:pPr>
            <w:r>
              <w:rPr>
                <w:rFonts w:ascii="仿宋_GB2312" w:hAnsi="仿宋_GB2312" w:eastAsia="仿宋_GB2312" w:cs="仿宋_GB2312"/>
              </w:rPr>
              <w:t>项</w:t>
            </w:r>
          </w:p>
        </w:tc>
        <w:tc>
          <w:tcPr>
            <w:tcW w:w="1384" w:type="dxa"/>
          </w:tcPr>
          <w:p w14:paraId="67784C4D">
            <w:pPr>
              <w:pStyle w:val="4"/>
            </w:pPr>
            <w:r>
              <w:rPr>
                <w:rFonts w:ascii="仿宋_GB2312" w:hAnsi="仿宋_GB2312" w:eastAsia="仿宋_GB2312" w:cs="仿宋_GB2312"/>
              </w:rPr>
              <w:t>建筑业</w:t>
            </w:r>
          </w:p>
        </w:tc>
      </w:tr>
    </w:tbl>
    <w:p w14:paraId="2CB3481F">
      <w:pPr>
        <w:pStyle w:val="4"/>
        <w:ind w:firstLine="480"/>
      </w:pPr>
      <w:r>
        <w:rPr>
          <w:rFonts w:ascii="仿宋_GB2312" w:hAnsi="仿宋_GB2312" w:eastAsia="仿宋_GB2312" w:cs="仿宋_GB2312"/>
        </w:rPr>
        <w:t>一、技术、服务标准和要求：</w:t>
      </w:r>
    </w:p>
    <w:p w14:paraId="22EAA871">
      <w:pPr>
        <w:pStyle w:val="4"/>
      </w:pPr>
      <w:r>
        <w:rPr>
          <w:rFonts w:ascii="仿宋_GB2312" w:hAnsi="仿宋_GB2312" w:eastAsia="仿宋_GB2312" w:cs="仿宋_GB2312"/>
        </w:rPr>
        <w:t>采购包1：</w:t>
      </w:r>
    </w:p>
    <w:p w14:paraId="60D3381E">
      <w:pPr>
        <w:pStyle w:val="4"/>
      </w:pPr>
      <w:r>
        <w:rPr>
          <w:rFonts w:ascii="仿宋_GB2312" w:hAnsi="仿宋_GB2312" w:eastAsia="仿宋_GB2312" w:cs="仿宋_GB2312"/>
        </w:rPr>
        <w:t>标的名称：秦渡街道禹王庙村保温大棚及配套设施建设项目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ABCF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4BBE4E">
            <w:pPr>
              <w:pStyle w:val="4"/>
            </w:pPr>
            <w:r>
              <w:rPr>
                <w:rFonts w:ascii="仿宋_GB2312" w:hAnsi="仿宋_GB2312" w:eastAsia="仿宋_GB2312" w:cs="仿宋_GB2312"/>
              </w:rPr>
              <w:t xml:space="preserve"> 序号</w:t>
            </w:r>
          </w:p>
        </w:tc>
        <w:tc>
          <w:tcPr>
            <w:tcW w:w="2769" w:type="dxa"/>
          </w:tcPr>
          <w:p w14:paraId="48DB2AA3">
            <w:pPr>
              <w:pStyle w:val="4"/>
            </w:pPr>
            <w:r>
              <w:rPr>
                <w:rFonts w:ascii="仿宋_GB2312" w:hAnsi="仿宋_GB2312" w:eastAsia="仿宋_GB2312" w:cs="仿宋_GB2312"/>
              </w:rPr>
              <w:t xml:space="preserve"> 参数性质</w:t>
            </w:r>
          </w:p>
        </w:tc>
        <w:tc>
          <w:tcPr>
            <w:tcW w:w="2769" w:type="dxa"/>
          </w:tcPr>
          <w:p w14:paraId="28F5BA76">
            <w:pPr>
              <w:pStyle w:val="4"/>
            </w:pPr>
            <w:r>
              <w:rPr>
                <w:rFonts w:ascii="仿宋_GB2312" w:hAnsi="仿宋_GB2312" w:eastAsia="仿宋_GB2312" w:cs="仿宋_GB2312"/>
              </w:rPr>
              <w:t xml:space="preserve"> 技术参数与性能指标</w:t>
            </w:r>
          </w:p>
        </w:tc>
      </w:tr>
      <w:tr w14:paraId="16403D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6E4EBC">
            <w:pPr>
              <w:pStyle w:val="4"/>
            </w:pPr>
            <w:r>
              <w:rPr>
                <w:rFonts w:ascii="仿宋_GB2312" w:hAnsi="仿宋_GB2312" w:eastAsia="仿宋_GB2312" w:cs="仿宋_GB2312"/>
              </w:rPr>
              <w:t>1</w:t>
            </w:r>
          </w:p>
        </w:tc>
        <w:tc>
          <w:tcPr>
            <w:tcW w:w="2769" w:type="dxa"/>
          </w:tcPr>
          <w:p w14:paraId="4997B0C3"/>
        </w:tc>
        <w:tc>
          <w:tcPr>
            <w:tcW w:w="2769" w:type="dxa"/>
          </w:tcPr>
          <w:p w14:paraId="57B0806A">
            <w:pPr>
              <w:pStyle w:val="4"/>
              <w:ind w:firstLine="360"/>
              <w:jc w:val="both"/>
            </w:pPr>
            <w:r>
              <w:rPr>
                <w:rFonts w:ascii="仿宋_GB2312" w:hAnsi="仿宋_GB2312" w:eastAsia="仿宋_GB2312" w:cs="仿宋_GB2312"/>
                <w:color w:val="000000"/>
                <w:sz w:val="18"/>
              </w:rPr>
              <w:t>一、项目概况</w:t>
            </w:r>
          </w:p>
          <w:p w14:paraId="43ACD849">
            <w:pPr>
              <w:pStyle w:val="4"/>
              <w:ind w:firstLine="360"/>
              <w:jc w:val="both"/>
            </w:pPr>
            <w:r>
              <w:rPr>
                <w:rFonts w:ascii="仿宋_GB2312" w:hAnsi="仿宋_GB2312" w:eastAsia="仿宋_GB2312" w:cs="仿宋_GB2312"/>
                <w:color w:val="000000"/>
                <w:sz w:val="18"/>
              </w:rPr>
              <w:t>1.项目名称：秦渡街道禹王庙村保温大棚及配套设施建设项目。</w:t>
            </w:r>
          </w:p>
          <w:p w14:paraId="0C5A51D1">
            <w:pPr>
              <w:pStyle w:val="4"/>
              <w:ind w:firstLine="360"/>
              <w:jc w:val="both"/>
            </w:pPr>
            <w:r>
              <w:rPr>
                <w:rFonts w:ascii="仿宋_GB2312" w:hAnsi="仿宋_GB2312" w:eastAsia="仿宋_GB2312" w:cs="仿宋_GB2312"/>
                <w:color w:val="000000"/>
                <w:sz w:val="18"/>
              </w:rPr>
              <w:t>2.项目地点：秦渡街道禹王庙村</w:t>
            </w:r>
          </w:p>
          <w:p w14:paraId="4EED666E">
            <w:pPr>
              <w:pStyle w:val="4"/>
              <w:ind w:firstLine="360"/>
              <w:jc w:val="both"/>
            </w:pPr>
            <w:r>
              <w:rPr>
                <w:rFonts w:ascii="仿宋_GB2312" w:hAnsi="仿宋_GB2312" w:eastAsia="仿宋_GB2312" w:cs="仿宋_GB2312"/>
                <w:color w:val="000000"/>
                <w:sz w:val="18"/>
              </w:rPr>
              <w:t>3.实施主要内容：建设33栋保温大棚，主要用于种植番茄等反季节果蔬，单棚规格宽10m×长60m×高4.3m（肩高2m），总建筑面积19800m²；拱棚基础选用混凝土独立基础，间距2m，拱杆固定于独立基础上，配套喷淋灌溉系统、卷帘设备等智能化设施及配电系统，铺设44亩地下灌溉管网，建设自动灌溉控制系统1套。</w:t>
            </w:r>
          </w:p>
          <w:p w14:paraId="27BD0F51">
            <w:pPr>
              <w:pStyle w:val="4"/>
              <w:ind w:firstLine="360"/>
              <w:jc w:val="both"/>
            </w:pPr>
            <w:r>
              <w:rPr>
                <w:rFonts w:ascii="仿宋_GB2312" w:hAnsi="仿宋_GB2312" w:eastAsia="仿宋_GB2312" w:cs="仿宋_GB2312"/>
                <w:color w:val="000000"/>
                <w:sz w:val="18"/>
              </w:rPr>
              <w:t>4.项目预算：预算金额为2096675.71元。</w:t>
            </w:r>
          </w:p>
          <w:p w14:paraId="42761BDF">
            <w:pPr>
              <w:pStyle w:val="4"/>
              <w:ind w:firstLine="360"/>
              <w:jc w:val="both"/>
            </w:pPr>
            <w:r>
              <w:rPr>
                <w:rFonts w:ascii="仿宋_GB2312" w:hAnsi="仿宋_GB2312" w:eastAsia="仿宋_GB2312" w:cs="仿宋_GB2312"/>
                <w:color w:val="000000"/>
                <w:sz w:val="18"/>
              </w:rPr>
              <w:t>二、项目要求</w:t>
            </w:r>
          </w:p>
          <w:p w14:paraId="59D212F0">
            <w:pPr>
              <w:pStyle w:val="4"/>
              <w:ind w:firstLine="360"/>
              <w:jc w:val="both"/>
            </w:pPr>
            <w:r>
              <w:rPr>
                <w:rFonts w:ascii="仿宋_GB2312" w:hAnsi="仿宋_GB2312" w:eastAsia="仿宋_GB2312" w:cs="仿宋_GB2312"/>
                <w:color w:val="000000"/>
                <w:sz w:val="18"/>
              </w:rPr>
              <w:t>（一）总体设计要求</w:t>
            </w:r>
          </w:p>
          <w:p w14:paraId="552DA2B6">
            <w:pPr>
              <w:pStyle w:val="4"/>
              <w:ind w:firstLine="360"/>
              <w:jc w:val="both"/>
            </w:pPr>
            <w:r>
              <w:rPr>
                <w:rFonts w:ascii="仿宋_GB2312" w:hAnsi="仿宋_GB2312" w:eastAsia="仿宋_GB2312" w:cs="仿宋_GB2312"/>
                <w:color w:val="000000"/>
                <w:sz w:val="18"/>
              </w:rPr>
              <w:t>1.大棚设计充分满足关中地区风荷载、雪荷载，结构安全稳定，大棚方位东西朝向，保证棚内采光均匀合理。</w:t>
            </w:r>
          </w:p>
          <w:p w14:paraId="4166E2A9">
            <w:pPr>
              <w:pStyle w:val="4"/>
              <w:ind w:firstLine="360"/>
              <w:jc w:val="both"/>
            </w:pPr>
            <w:r>
              <w:rPr>
                <w:rFonts w:ascii="仿宋_GB2312" w:hAnsi="仿宋_GB2312" w:eastAsia="仿宋_GB2312" w:cs="仿宋_GB2312"/>
                <w:color w:val="000000"/>
                <w:sz w:val="18"/>
              </w:rPr>
              <w:t>2.地块排水通畅，地下水位适宜，大棚之间预留合理间距，避免互相遮光。</w:t>
            </w:r>
          </w:p>
          <w:p w14:paraId="2042407E">
            <w:pPr>
              <w:pStyle w:val="4"/>
              <w:ind w:firstLine="360"/>
              <w:jc w:val="both"/>
            </w:pPr>
            <w:r>
              <w:rPr>
                <w:rFonts w:ascii="仿宋_GB2312" w:hAnsi="仿宋_GB2312" w:eastAsia="仿宋_GB2312" w:cs="仿宋_GB2312"/>
                <w:color w:val="000000"/>
                <w:sz w:val="18"/>
              </w:rPr>
              <w:t>3.全部钢结构构件采用热浸镀锌防腐处理，螺栓、连接件全部热镀锌，禁止使用冷镀锌构件；焊接部位完工后必须做防腐处理。</w:t>
            </w:r>
          </w:p>
          <w:p w14:paraId="72F3664F">
            <w:pPr>
              <w:pStyle w:val="4"/>
              <w:ind w:firstLine="360"/>
              <w:jc w:val="both"/>
            </w:pPr>
            <w:r>
              <w:rPr>
                <w:rFonts w:ascii="仿宋_GB2312" w:hAnsi="仿宋_GB2312" w:eastAsia="仿宋_GB2312" w:cs="仿宋_GB2312"/>
                <w:color w:val="000000"/>
                <w:sz w:val="18"/>
              </w:rPr>
              <w:t>4.工程施工、材料选型须符合国家、农业行业相关标准规范，满足西安地区设施农业建设要求。</w:t>
            </w:r>
          </w:p>
          <w:p w14:paraId="24CBCE15">
            <w:pPr>
              <w:pStyle w:val="4"/>
              <w:ind w:firstLine="360"/>
              <w:jc w:val="both"/>
            </w:pPr>
            <w:r>
              <w:rPr>
                <w:rFonts w:ascii="仿宋_GB2312" w:hAnsi="仿宋_GB2312" w:eastAsia="仿宋_GB2312" w:cs="仿宋_GB2312"/>
                <w:color w:val="000000"/>
                <w:sz w:val="18"/>
              </w:rPr>
              <w:t>（二）大棚主体结构技术参数</w:t>
            </w:r>
          </w:p>
          <w:p w14:paraId="6B02550A">
            <w:pPr>
              <w:pStyle w:val="4"/>
              <w:ind w:firstLine="360"/>
              <w:jc w:val="both"/>
            </w:pPr>
            <w:r>
              <w:rPr>
                <w:rFonts w:ascii="仿宋_GB2312" w:hAnsi="仿宋_GB2312" w:eastAsia="仿宋_GB2312" w:cs="仿宋_GB2312"/>
                <w:color w:val="000000"/>
                <w:sz w:val="18"/>
              </w:rPr>
              <w:t>1.大棚骨架：采用热镀锌椭圆管，拱架间距1.0m；设置多道纵向拉杆、斜撑，保证整体结构强度，抗风雪性能达标。</w:t>
            </w:r>
          </w:p>
          <w:p w14:paraId="68D03A38">
            <w:pPr>
              <w:pStyle w:val="4"/>
              <w:ind w:firstLine="360"/>
              <w:jc w:val="both"/>
            </w:pPr>
            <w:r>
              <w:rPr>
                <w:rFonts w:ascii="仿宋_GB2312" w:hAnsi="仿宋_GB2312" w:eastAsia="仿宋_GB2312" w:cs="仿宋_GB2312"/>
                <w:color w:val="000000"/>
                <w:sz w:val="18"/>
              </w:rPr>
              <w:t>2.大棚基础：拱杆底部设置混凝土独立基座，防止骨架下沉、倒伏。</w:t>
            </w:r>
          </w:p>
          <w:p w14:paraId="2CC3172A">
            <w:pPr>
              <w:pStyle w:val="4"/>
              <w:ind w:firstLine="360"/>
              <w:jc w:val="both"/>
            </w:pPr>
            <w:r>
              <w:rPr>
                <w:rFonts w:ascii="仿宋_GB2312" w:hAnsi="仿宋_GB2312" w:eastAsia="仿宋_GB2312" w:cs="仿宋_GB2312"/>
                <w:color w:val="000000"/>
                <w:sz w:val="18"/>
              </w:rPr>
              <w:t>3.棚门：每座大棚设置作业门，门洞尺寸不小于2.5m×2.5m，满足手推车、小型农机进出作业。</w:t>
            </w:r>
          </w:p>
          <w:p w14:paraId="17B5DBCF">
            <w:pPr>
              <w:pStyle w:val="4"/>
              <w:ind w:firstLine="360"/>
              <w:jc w:val="both"/>
            </w:pPr>
            <w:r>
              <w:rPr>
                <w:rFonts w:ascii="仿宋_GB2312" w:hAnsi="仿宋_GB2312" w:eastAsia="仿宋_GB2312" w:cs="仿宋_GB2312"/>
                <w:color w:val="000000"/>
                <w:sz w:val="18"/>
              </w:rPr>
              <w:t>（三）覆盖及保温系统要求</w:t>
            </w:r>
          </w:p>
          <w:p w14:paraId="219A55C2">
            <w:pPr>
              <w:pStyle w:val="4"/>
              <w:ind w:firstLine="360"/>
              <w:jc w:val="both"/>
            </w:pPr>
            <w:r>
              <w:rPr>
                <w:rFonts w:ascii="仿宋_GB2312" w:hAnsi="仿宋_GB2312" w:eastAsia="仿宋_GB2312" w:cs="仿宋_GB2312"/>
                <w:color w:val="000000"/>
                <w:sz w:val="18"/>
              </w:rPr>
              <w:t>1.棚膜：薄膜采用12丝PO薄膜覆盖，抗老化、耐低温，具备流滴消雾功能，适应关中冬季低温环境。</w:t>
            </w:r>
          </w:p>
          <w:p w14:paraId="36896091">
            <w:pPr>
              <w:pStyle w:val="4"/>
              <w:ind w:firstLine="360"/>
              <w:jc w:val="both"/>
            </w:pPr>
            <w:r>
              <w:rPr>
                <w:rFonts w:ascii="仿宋_GB2312" w:hAnsi="仿宋_GB2312" w:eastAsia="仿宋_GB2312" w:cs="仿宋_GB2312"/>
                <w:color w:val="000000"/>
                <w:sz w:val="18"/>
              </w:rPr>
              <w:t>2.保温被：采用5层黑胶棉被覆盖，抗拉强度高、防水不渗水，具备优良保温性能。</w:t>
            </w:r>
          </w:p>
          <w:p w14:paraId="7AC745A9">
            <w:pPr>
              <w:pStyle w:val="4"/>
              <w:ind w:firstLine="360"/>
              <w:jc w:val="both"/>
            </w:pPr>
            <w:r>
              <w:rPr>
                <w:rFonts w:ascii="仿宋_GB2312" w:hAnsi="仿宋_GB2312" w:eastAsia="仿宋_GB2312" w:cs="仿宋_GB2312"/>
                <w:color w:val="000000"/>
                <w:sz w:val="18"/>
              </w:rPr>
              <w:t>3.电动卷帘机：配套电动卷帘设备，运行平稳，限位保护装置齐全，可实现保温被自动卷放，电机做好接地保护，保障设备安全。</w:t>
            </w:r>
          </w:p>
          <w:p w14:paraId="3B21A82E">
            <w:pPr>
              <w:pStyle w:val="4"/>
              <w:ind w:firstLine="360"/>
              <w:jc w:val="both"/>
            </w:pPr>
            <w:r>
              <w:rPr>
                <w:rFonts w:ascii="仿宋_GB2312" w:hAnsi="仿宋_GB2312" w:eastAsia="仿宋_GB2312" w:cs="仿宋_GB2312"/>
                <w:color w:val="000000"/>
                <w:sz w:val="18"/>
              </w:rPr>
              <w:t>（四）通风与防虫要求</w:t>
            </w:r>
          </w:p>
          <w:p w14:paraId="7B4B6814">
            <w:pPr>
              <w:pStyle w:val="4"/>
              <w:ind w:firstLine="360"/>
              <w:jc w:val="both"/>
            </w:pPr>
            <w:r>
              <w:rPr>
                <w:rFonts w:ascii="仿宋_GB2312" w:hAnsi="仿宋_GB2312" w:eastAsia="仿宋_GB2312" w:cs="仿宋_GB2312"/>
                <w:color w:val="000000"/>
                <w:sz w:val="18"/>
              </w:rPr>
              <w:t>1.大棚两侧设置通风口，配置卷膜器，卷膜运行顺畅，可完成通风、降温、排湿作业，限位装置完好。</w:t>
            </w:r>
          </w:p>
          <w:p w14:paraId="56458693">
            <w:pPr>
              <w:pStyle w:val="4"/>
              <w:ind w:firstLine="360"/>
              <w:jc w:val="both"/>
            </w:pPr>
            <w:r>
              <w:rPr>
                <w:rFonts w:ascii="仿宋_GB2312" w:hAnsi="仿宋_GB2312" w:eastAsia="仿宋_GB2312" w:cs="仿宋_GB2312"/>
                <w:color w:val="000000"/>
                <w:sz w:val="18"/>
              </w:rPr>
              <w:t>2.通风口位置设置60目以上防虫网，网体完整无破损，接口密封严实，实现物理防虫，减少虫害发生。</w:t>
            </w:r>
          </w:p>
          <w:p w14:paraId="7517B156">
            <w:pPr>
              <w:pStyle w:val="4"/>
              <w:ind w:firstLine="360"/>
              <w:jc w:val="both"/>
            </w:pPr>
            <w:r>
              <w:rPr>
                <w:rFonts w:ascii="仿宋_GB2312" w:hAnsi="仿宋_GB2312" w:eastAsia="仿宋_GB2312" w:cs="仿宋_GB2312"/>
                <w:color w:val="000000"/>
                <w:sz w:val="18"/>
              </w:rPr>
              <w:t>（五）水肥一体化灌溉系统</w:t>
            </w:r>
          </w:p>
          <w:p w14:paraId="5A857112">
            <w:pPr>
              <w:pStyle w:val="4"/>
              <w:ind w:firstLine="360"/>
              <w:jc w:val="both"/>
            </w:pPr>
            <w:r>
              <w:rPr>
                <w:rFonts w:ascii="仿宋_GB2312" w:hAnsi="仿宋_GB2312" w:eastAsia="仿宋_GB2312" w:cs="仿宋_GB2312"/>
                <w:color w:val="000000"/>
                <w:sz w:val="18"/>
              </w:rPr>
              <w:t>1.配备水肥灌溉设备及控制系统1套，可实现浇水、施肥一体化作业。</w:t>
            </w:r>
          </w:p>
          <w:p w14:paraId="0E4CAAB3">
            <w:pPr>
              <w:pStyle w:val="4"/>
              <w:ind w:firstLine="360"/>
              <w:jc w:val="both"/>
            </w:pPr>
            <w:r>
              <w:rPr>
                <w:rFonts w:ascii="仿宋_GB2312" w:hAnsi="仿宋_GB2312" w:eastAsia="仿宋_GB2312" w:cs="仿宋_GB2312"/>
                <w:color w:val="000000"/>
                <w:sz w:val="18"/>
              </w:rPr>
              <w:t>2.管道布局合理，不影响田间农事操作，接口密封无渗漏。</w:t>
            </w:r>
          </w:p>
          <w:p w14:paraId="0294DEE3">
            <w:pPr>
              <w:pStyle w:val="4"/>
              <w:ind w:firstLine="360"/>
              <w:jc w:val="both"/>
            </w:pPr>
            <w:r>
              <w:rPr>
                <w:rFonts w:ascii="仿宋_GB2312" w:hAnsi="仿宋_GB2312" w:eastAsia="仿宋_GB2312" w:cs="仿宋_GB2312"/>
                <w:color w:val="000000"/>
                <w:sz w:val="18"/>
              </w:rPr>
              <w:t>（六）电气配电系统</w:t>
            </w:r>
          </w:p>
          <w:p w14:paraId="61705521">
            <w:pPr>
              <w:pStyle w:val="4"/>
              <w:ind w:firstLine="360"/>
              <w:jc w:val="both"/>
            </w:pPr>
            <w:r>
              <w:rPr>
                <w:rFonts w:ascii="仿宋_GB2312" w:hAnsi="仿宋_GB2312" w:eastAsia="仿宋_GB2312" w:cs="仿宋_GB2312"/>
                <w:color w:val="000000"/>
                <w:sz w:val="18"/>
              </w:rPr>
              <w:t>1.场内电线穿管防护，严禁裸线外露；卷帘机电机做好接地保护。</w:t>
            </w:r>
          </w:p>
          <w:p w14:paraId="72DC8C63">
            <w:pPr>
              <w:pStyle w:val="4"/>
              <w:ind w:firstLine="360"/>
              <w:jc w:val="both"/>
            </w:pPr>
            <w:r>
              <w:rPr>
                <w:rFonts w:ascii="仿宋_GB2312" w:hAnsi="仿宋_GB2312" w:eastAsia="仿宋_GB2312" w:cs="仿宋_GB2312"/>
                <w:color w:val="000000"/>
                <w:sz w:val="18"/>
              </w:rPr>
              <w:t>2.设置专用配电箱，配备漏电保护装置，操作维护方便，符合农业用电安全规范。</w:t>
            </w:r>
          </w:p>
          <w:p w14:paraId="3A1AA16F">
            <w:pPr>
              <w:pStyle w:val="4"/>
              <w:ind w:firstLine="360"/>
              <w:jc w:val="both"/>
            </w:pPr>
            <w:r>
              <w:rPr>
                <w:rFonts w:ascii="仿宋_GB2312" w:hAnsi="仿宋_GB2312" w:eastAsia="仿宋_GB2312" w:cs="仿宋_GB2312"/>
                <w:color w:val="000000"/>
                <w:sz w:val="18"/>
              </w:rPr>
              <w:t>三、执行的法律法规、技术规范</w:t>
            </w:r>
          </w:p>
          <w:p w14:paraId="65DF90C0">
            <w:pPr>
              <w:pStyle w:val="4"/>
            </w:pPr>
            <w:r>
              <w:rPr>
                <w:rFonts w:ascii="仿宋_GB2312" w:hAnsi="仿宋_GB2312" w:eastAsia="仿宋_GB2312" w:cs="仿宋_GB2312"/>
                <w:color w:val="000000"/>
                <w:sz w:val="18"/>
              </w:rPr>
              <w:t>执行的法律法规、技术规范包括但不限于以下规定、规范、标准：《高标准农田建设通则》农业温室结构荷载规范》（GB／T 51183-2016 ）《种植塑料大棚工程技术规范 》（GB／T 51057-2015）《温室工程术语》（GB/T10292-2001）《冷弯薄壁型钢结构技术规范》（GB50018-2002）《门式刚架轻型房屋钢结构技术规范 》（GB 51022-2015）等。</w:t>
            </w:r>
          </w:p>
        </w:tc>
      </w:tr>
    </w:tbl>
    <w:p w14:paraId="68607E9A">
      <w:pPr>
        <w:pStyle w:val="4"/>
        <w:ind w:firstLine="480"/>
      </w:pPr>
      <w:r>
        <w:rPr>
          <w:rFonts w:ascii="仿宋_GB2312" w:hAnsi="仿宋_GB2312" w:eastAsia="仿宋_GB2312" w:cs="仿宋_GB2312"/>
        </w:rPr>
        <w:t>二、供应商针对本项目的施工，必须达到国家及行业现行技术规范标准，符合国家及行业验收合格标准：</w:t>
      </w:r>
    </w:p>
    <w:p w14:paraId="442DE25F">
      <w:pPr>
        <w:pStyle w:val="4"/>
      </w:pPr>
      <w:r>
        <w:rPr>
          <w:rFonts w:ascii="仿宋_GB2312" w:hAnsi="仿宋_GB2312" w:eastAsia="仿宋_GB2312" w:cs="仿宋_GB2312"/>
        </w:rPr>
        <w:t>采购包1：</w:t>
      </w:r>
    </w:p>
    <w:p w14:paraId="0A84BD2E">
      <w:pPr>
        <w:pStyle w:val="4"/>
      </w:pPr>
      <w:r>
        <w:rPr>
          <w:rFonts w:ascii="仿宋_GB2312" w:hAnsi="仿宋_GB2312" w:eastAsia="仿宋_GB2312" w:cs="仿宋_GB2312"/>
        </w:rPr>
        <w:t>《高标准农田建设通则》农业温室结构荷载规范》（GB／T 51183-2016 ）《种植塑料大棚工程技术规范 》（GB／T 51057-2015）《温室工程术语》（GB/T10292-2001）《冷弯薄壁型钢结构技术规范》（GB50018-2002）《门式刚架轻型房屋钢结构技术规范 》（GB 51022-2015）等。</w:t>
      </w:r>
    </w:p>
    <w:p w14:paraId="4EBAFB93">
      <w:pPr>
        <w:pStyle w:val="4"/>
        <w:ind w:firstLine="480"/>
      </w:pPr>
      <w:r>
        <w:rPr>
          <w:rFonts w:ascii="仿宋_GB2312" w:hAnsi="仿宋_GB2312" w:eastAsia="仿宋_GB2312" w:cs="仿宋_GB2312"/>
        </w:rPr>
        <w:t>三、针对本项目的其他技术服务要求：</w:t>
      </w:r>
    </w:p>
    <w:p w14:paraId="50FBA438">
      <w:pPr>
        <w:pStyle w:val="4"/>
      </w:pPr>
      <w:r>
        <w:rPr>
          <w:rFonts w:ascii="仿宋_GB2312" w:hAnsi="仿宋_GB2312" w:eastAsia="仿宋_GB2312" w:cs="仿宋_GB2312"/>
        </w:rPr>
        <w:t>施工单位要严格按照技术规范执行作业。</w:t>
      </w:r>
    </w:p>
    <w:p w14:paraId="3FAE9E85">
      <w:pPr>
        <w:pStyle w:val="4"/>
        <w:ind w:firstLine="480"/>
      </w:pPr>
      <w:r>
        <w:rPr>
          <w:rFonts w:ascii="仿宋_GB2312" w:hAnsi="仿宋_GB2312" w:eastAsia="仿宋_GB2312" w:cs="仿宋_GB2312"/>
        </w:rPr>
        <w:t>四、工程量清单（详见附件）</w:t>
      </w:r>
    </w:p>
    <w:p w14:paraId="52AB50DA">
      <w:pPr>
        <w:pStyle w:val="4"/>
        <w:ind w:firstLine="480"/>
      </w:pPr>
      <w:r>
        <w:rPr>
          <w:rFonts w:ascii="仿宋_GB2312" w:hAnsi="仿宋_GB2312" w:eastAsia="仿宋_GB2312" w:cs="仿宋_GB2312"/>
        </w:rPr>
        <w:t xml:space="preserve"> （说明：工程量清单应当结合《政府采购需求管理办法》（财库〔2021〕22号）第六条第二款规定，明确相关性能、材料、结构、外观、安全、标准等。）</w:t>
      </w:r>
    </w:p>
    <w:p w14:paraId="30C87EC7">
      <w:pPr>
        <w:pStyle w:val="4"/>
        <w:outlineLvl w:val="2"/>
      </w:pPr>
      <w:r>
        <w:rPr>
          <w:rFonts w:ascii="仿宋_GB2312" w:hAnsi="仿宋_GB2312" w:eastAsia="仿宋_GB2312" w:cs="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EF244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75029CD">
            <w:pPr>
              <w:pStyle w:val="4"/>
            </w:pPr>
            <w:r>
              <w:rPr>
                <w:rFonts w:ascii="仿宋_GB2312" w:hAnsi="仿宋_GB2312" w:eastAsia="仿宋_GB2312" w:cs="仿宋_GB2312"/>
              </w:rPr>
              <w:t>序号</w:t>
            </w:r>
          </w:p>
        </w:tc>
        <w:tc>
          <w:tcPr>
            <w:tcW w:w="2769" w:type="dxa"/>
          </w:tcPr>
          <w:p w14:paraId="35F4583D">
            <w:pPr>
              <w:pStyle w:val="4"/>
            </w:pPr>
            <w:r>
              <w:rPr>
                <w:rFonts w:ascii="仿宋_GB2312" w:hAnsi="仿宋_GB2312" w:eastAsia="仿宋_GB2312" w:cs="仿宋_GB2312"/>
              </w:rPr>
              <w:t>项目</w:t>
            </w:r>
          </w:p>
        </w:tc>
        <w:tc>
          <w:tcPr>
            <w:tcW w:w="2769" w:type="dxa"/>
          </w:tcPr>
          <w:p w14:paraId="39CD5BB1">
            <w:pPr>
              <w:pStyle w:val="4"/>
            </w:pPr>
            <w:r>
              <w:rPr>
                <w:rFonts w:ascii="仿宋_GB2312" w:hAnsi="仿宋_GB2312" w:eastAsia="仿宋_GB2312" w:cs="仿宋_GB2312"/>
              </w:rPr>
              <w:t>要求</w:t>
            </w:r>
          </w:p>
        </w:tc>
      </w:tr>
      <w:tr w14:paraId="5FADE0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379771C">
            <w:pPr>
              <w:pStyle w:val="4"/>
            </w:pPr>
            <w:r>
              <w:rPr>
                <w:rFonts w:ascii="仿宋_GB2312" w:hAnsi="仿宋_GB2312" w:eastAsia="仿宋_GB2312" w:cs="仿宋_GB2312"/>
              </w:rPr>
              <w:t>1</w:t>
            </w:r>
          </w:p>
        </w:tc>
        <w:tc>
          <w:tcPr>
            <w:tcW w:w="2769" w:type="dxa"/>
          </w:tcPr>
          <w:p w14:paraId="53A1F701">
            <w:pPr>
              <w:pStyle w:val="4"/>
              <w:rPr>
                <w:rFonts w:hint="eastAsia" w:eastAsiaTheme="minorEastAsia"/>
                <w:lang w:val="en-US" w:eastAsia="zh-CN"/>
              </w:rPr>
            </w:pPr>
            <w:r>
              <w:rPr>
                <w:rFonts w:hint="eastAsia" w:ascii="仿宋_GB2312" w:hAnsi="仿宋_GB2312" w:eastAsia="仿宋_GB2312" w:cs="仿宋_GB2312"/>
                <w:lang w:val="en-US" w:eastAsia="zh-CN"/>
              </w:rPr>
              <w:t>工期</w:t>
            </w:r>
          </w:p>
        </w:tc>
        <w:tc>
          <w:tcPr>
            <w:tcW w:w="2769" w:type="dxa"/>
          </w:tcPr>
          <w:p w14:paraId="3AB32581">
            <w:pPr>
              <w:pStyle w:val="4"/>
              <w:rPr>
                <w:rFonts w:hint="default" w:eastAsiaTheme="minorEastAsia"/>
                <w:lang w:val="en-US" w:eastAsia="zh-CN"/>
              </w:rPr>
            </w:pPr>
            <w:r>
              <w:rPr>
                <w:rFonts w:hint="eastAsia" w:ascii="仿宋_GB2312" w:hAnsi="仿宋_GB2312" w:eastAsia="仿宋_GB2312" w:cs="仿宋_GB2312"/>
                <w:lang w:val="en-US" w:eastAsia="zh-CN"/>
              </w:rPr>
              <w:t>45日历天</w:t>
            </w:r>
          </w:p>
        </w:tc>
      </w:tr>
      <w:tr w14:paraId="7E75E0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E6E9BA9">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w:t>
            </w:r>
          </w:p>
        </w:tc>
        <w:tc>
          <w:tcPr>
            <w:tcW w:w="2769" w:type="dxa"/>
          </w:tcPr>
          <w:p w14:paraId="52CE41A5">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工程质量</w:t>
            </w:r>
          </w:p>
        </w:tc>
        <w:tc>
          <w:tcPr>
            <w:tcW w:w="2769" w:type="dxa"/>
          </w:tcPr>
          <w:p w14:paraId="70DFB492">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合格</w:t>
            </w:r>
          </w:p>
        </w:tc>
      </w:tr>
      <w:tr w14:paraId="47B96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C64340">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2769" w:type="dxa"/>
          </w:tcPr>
          <w:p w14:paraId="16417046">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付款方式</w:t>
            </w:r>
          </w:p>
        </w:tc>
        <w:tc>
          <w:tcPr>
            <w:tcW w:w="2769" w:type="dxa"/>
          </w:tcPr>
          <w:p w14:paraId="0BF5588B">
            <w:pPr>
              <w:pStyle w:val="4"/>
              <w:rPr>
                <w:rFonts w:ascii="仿宋_GB2312" w:hAnsi="仿宋_GB2312" w:eastAsia="仿宋_GB2312" w:cs="仿宋_GB2312"/>
              </w:rPr>
            </w:pPr>
            <w:r>
              <w:rPr>
                <w:rFonts w:hint="eastAsia" w:ascii="仿宋_GB2312" w:hAnsi="仿宋_GB2312" w:eastAsia="仿宋_GB2312" w:cs="仿宋_GB2312"/>
              </w:rPr>
              <w:t>1.合同签订后，甲方向乙方支付合同暂定总价的 30%；2.主体完工后，甲方向乙方支付合同暂定总价的 60%,3.工程全部完工经甲方初验及区级联合验收合格并出具验收单后，支付至合同暂定总价的90%，3.待结算评审完成后支付至结算金额的 100%。</w:t>
            </w:r>
            <w:bookmarkStart w:id="0" w:name="_GoBack"/>
            <w:bookmarkEnd w:id="0"/>
          </w:p>
        </w:tc>
      </w:tr>
    </w:tbl>
    <w:p w14:paraId="783F276A">
      <w:pPr>
        <w:pStyle w:val="4"/>
        <w:outlineLvl w:val="3"/>
      </w:pPr>
      <w:r>
        <w:rPr>
          <w:rFonts w:ascii="仿宋_GB2312" w:hAnsi="仿宋_GB2312" w:eastAsia="仿宋_GB2312" w:cs="仿宋_GB2312"/>
          <w:b/>
          <w:sz w:val="24"/>
        </w:rPr>
        <w:t>说明：</w:t>
      </w:r>
    </w:p>
    <w:p w14:paraId="1E22EBA5">
      <w:pPr>
        <w:pStyle w:val="4"/>
        <w:ind w:firstLine="480"/>
      </w:pPr>
      <w:r>
        <w:rPr>
          <w:rFonts w:ascii="仿宋_GB2312" w:hAnsi="仿宋_GB2312" w:eastAsia="仿宋_GB2312" w:cs="仿宋_GB2312"/>
        </w:rPr>
        <w:t>1.对于不允许偏离的实质性要求和条件，采购人或者代理机构应当在磋商文件中规定，并以醒目的方式标明。</w:t>
      </w:r>
    </w:p>
    <w:p w14:paraId="587DA3AD">
      <w:pPr>
        <w:pStyle w:val="4"/>
        <w:ind w:firstLine="480"/>
      </w:pPr>
      <w:r>
        <w:rPr>
          <w:rFonts w:ascii="仿宋_GB2312" w:hAnsi="仿宋_GB2312" w:eastAsia="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03CA8546">
      <w:pPr>
        <w:pStyle w:val="4"/>
        <w:ind w:firstLine="480"/>
      </w:pPr>
      <w:r>
        <w:rPr>
          <w:rFonts w:ascii="仿宋_GB2312" w:hAnsi="仿宋_GB2312" w:eastAsia="仿宋_GB2312" w:cs="仿宋_GB2312"/>
        </w:rPr>
        <w:t xml:space="preserve"> 3.若要求供应商提供相关人员的职业资格的，不得要求提供除现行《国家职业资格目录》以外的职业资格，不得以不合理条件对供应商实行差别待遇或者歧视性待遇。</w:t>
      </w:r>
    </w:p>
    <w:p w14:paraId="1C3AB1D4">
      <w:pPr>
        <w:pStyle w:val="4"/>
        <w:outlineLvl w:val="2"/>
      </w:pPr>
      <w:r>
        <w:rPr>
          <w:rFonts w:ascii="仿宋_GB2312" w:hAnsi="仿宋_GB2312" w:eastAsia="仿宋_GB2312" w:cs="仿宋_GB2312"/>
          <w:b/>
          <w:sz w:val="28"/>
        </w:rPr>
        <w:t>3.3其他要求</w:t>
      </w:r>
    </w:p>
    <w:p w14:paraId="4EFD41E2">
      <w:r>
        <w:rPr>
          <w:rFonts w:ascii="仿宋_GB2312" w:hAnsi="仿宋_GB2312" w:eastAsia="仿宋_GB2312" w:cs="仿宋_GB2312"/>
        </w:rPr>
        <w:t>1.成交供应商在领取成交通知书前，须向采购代理机构提供纸质版响应文件3套及电子版响应文件1套（电子版提供U盘），且提供的响应文件必须与在陕西省政府采购综合管理平台的项目电子化交易系统中递交的电子响应文件内容一致，纸质版响应文件必须装订成册签字盖章，电子版响应文件为纸质版签字盖章后的扫描件。 2.如磋商文件中融资相关内容与新政策要求有出入，按照最新要求执行。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B53538"/>
    <w:rsid w:val="498148FD"/>
    <w:rsid w:val="7F792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2026-10-16T08:16:40Z</dcterms:created>
  <dc:creator>Administrator</dc:creator>
  <cp:lastModifiedBy>乐果儿</cp:lastModifiedBy>
  <dcterms:modified xsi:type="dcterms:W3CDTF">2026-10-16T08:19:28Z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eyJoZGlkIjoiNjIxMDI2NjM3MzgyYzQ0NTJmZDVhODRjOWE1OTQyYWMiLCJ1c2VySWQiOiIyMzMyNDUzMjgifQ==</vt:lpwstr>
  </property>
  <property fmtid="{D5CDD505-2E9C-101B-9397-08002B2CF9AE}" pid="4" name="ICV">
    <vt:lpwstr>29FBD8A0CBF249798B6623A026F14EEF_12</vt:lpwstr>
  </property>
</Properties>
</file>