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版本号：CG-JMYC-2026-044.1B120260819001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西乡二中教室照明灯具更换项目(二次)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CG-JMYC-2026-044.1B1</w:t>
      </w:r>
      <w:r>
        <w:br/>
      </w:r>
      <w:r>
        <w:br/>
      </w:r>
      <w:r>
        <w:br/>
      </w:r>
    </w:p>
    <w:p>
      <w:pPr>
        <w:pStyle w:val="null3"/>
        <w:jc w:val="center"/>
        <w:outlineLvl w:val="2"/>
      </w:pPr>
      <w:r>
        <w:rPr>
          <w:rFonts w:ascii="仿宋_GB2312" w:hAnsi="仿宋_GB2312" w:cs="仿宋_GB2312" w:eastAsia="仿宋_GB2312"/>
          <w:sz w:val="28"/>
          <w:b/>
        </w:rPr>
        <w:t>西乡县第二中学</w:t>
      </w:r>
    </w:p>
    <w:p>
      <w:pPr>
        <w:pStyle w:val="null3"/>
        <w:jc w:val="center"/>
        <w:outlineLvl w:val="2"/>
      </w:pPr>
      <w:r>
        <w:rPr>
          <w:rFonts w:ascii="仿宋_GB2312" w:hAnsi="仿宋_GB2312" w:cs="仿宋_GB2312" w:eastAsia="仿宋_GB2312"/>
          <w:sz w:val="28"/>
          <w:b/>
        </w:rPr>
        <w:t>陕西金沐烨城项目管理有限公司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陕西金沐烨城项目管理有限公司</w:t>
      </w:r>
      <w:r>
        <w:rPr>
          <w:rFonts w:ascii="仿宋_GB2312" w:hAnsi="仿宋_GB2312" w:cs="仿宋_GB2312" w:eastAsia="仿宋_GB2312"/>
        </w:rPr>
        <w:t>（以下简称“代理机构”）受</w:t>
      </w:r>
      <w:r>
        <w:rPr>
          <w:rFonts w:ascii="仿宋_GB2312" w:hAnsi="仿宋_GB2312" w:cs="仿宋_GB2312" w:eastAsia="仿宋_GB2312"/>
        </w:rPr>
        <w:t>西乡县第二中学</w:t>
      </w:r>
      <w:r>
        <w:rPr>
          <w:rFonts w:ascii="仿宋_GB2312" w:hAnsi="仿宋_GB2312" w:cs="仿宋_GB2312" w:eastAsia="仿宋_GB2312"/>
        </w:rPr>
        <w:t>委托，拟对</w:t>
      </w:r>
      <w:r>
        <w:rPr>
          <w:rFonts w:ascii="仿宋_GB2312" w:hAnsi="仿宋_GB2312" w:cs="仿宋_GB2312" w:eastAsia="仿宋_GB2312"/>
        </w:rPr>
        <w:t>西乡二中教室照明灯具更换项目(二次)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CG-JMYC-2026-044.1B1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西乡二中教室照明灯具更换项目(二次)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为改善教室照明环境，降低师生视觉疲劳，减少近视发生率，助力教学效率提升；更换教学楼教室日光灯为LED教室护眼灯及LED黑板灯一批。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采购包1（西乡二中教室照明灯具更换项目）：属于专门面向中小企业采购。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承担⺠事责任能⼒的企业法⼈、事业法⼈、其他组织或⾃然⼈，提供营业执照（事业单位须事业单位法⼈证、组织机构代码证等证明⽂件；其他组织应提供合法证明⽂件、⾃然⼈提供⾝份证明⽂件）</w:t>
      </w:r>
    </w:p>
    <w:p>
      <w:pPr>
        <w:pStyle w:val="null3"/>
      </w:pPr>
      <w:r>
        <w:rPr>
          <w:rFonts w:ascii="仿宋_GB2312" w:hAnsi="仿宋_GB2312" w:cs="仿宋_GB2312" w:eastAsia="仿宋_GB2312"/>
        </w:rPr>
        <w:t>2、投标授权代表：供应商应授权合法的授权代表参加投标全过程，其中法定代表⼈直接参加投标的，须出具法定代表⼈证明书及法⼈⾝份证，法定代表⼈授权代表参加投标的，须出具法定代表⼈授权书、授权代表本⼈⾝份证；</w:t>
      </w:r>
    </w:p>
    <w:p>
      <w:pPr>
        <w:pStyle w:val="null3"/>
      </w:pPr>
      <w:r>
        <w:rPr>
          <w:rFonts w:ascii="仿宋_GB2312" w:hAnsi="仿宋_GB2312" w:cs="仿宋_GB2312" w:eastAsia="仿宋_GB2312"/>
        </w:rPr>
        <w:t>3、政府采购供应商资格承诺函：供应商具有良好的商业信誉和健全的财务会计制度，具有履⾏合同所必需的设备和专业技术能⼒，具有依法缴纳税收和社会保障⾦的良好记录，参加本项⽬采购活动前三年内⽆重⼤违法活动记录。供应商未列⼊在信⽤中国⽹站“失信被执⾏⼈”、“重⼤税收违法案件当事⼈名单”中（www.creditchina.gov.cn），也未列⼊中国政府采购⽹“政府采购严重违法失信⾏为记录名单”中（www.ccgp.gov.cn），按照汉财办采管[2024]20号⽂件要求，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西乡县鹿龄路西段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李玉强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15209162235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陕西金沐烨城项目管理有限公司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陕西省汉中市汉台区陕西省汉中市汉台区汉中路街道办事处南关正街汉上第一街12幢办公楼19层1-4室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18392621855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黑板护眼灯、教室护眼灯</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黑板护眼灯、教室护眼灯</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开户名称：陕西⾦沐烨城项⽬管理有限公司</w:t>
            </w:r>
          </w:p>
          <w:p>
            <w:pPr>
              <w:pStyle w:val="null3"/>
            </w:pPr>
            <w:r>
              <w:rPr>
                <w:rFonts w:ascii="仿宋_GB2312" w:hAnsi="仿宋_GB2312" w:cs="仿宋_GB2312" w:eastAsia="仿宋_GB2312"/>
              </w:rPr>
              <w:t>开户银行：中国银⾏汉中陕西理⼯⼤学⽀⾏</w:t>
            </w:r>
          </w:p>
          <w:p>
            <w:pPr>
              <w:pStyle w:val="null3"/>
            </w:pPr>
            <w:r>
              <w:rPr>
                <w:rFonts w:ascii="仿宋_GB2312" w:hAnsi="仿宋_GB2312" w:cs="仿宋_GB2312" w:eastAsia="仿宋_GB2312"/>
              </w:rPr>
              <w:t>银行账号：103313983701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1、代理服务费参照《招标代理服务收费管理暂⾏办法》计价[2002]1980号和《国家发改委关于招标代理服务收费有关问题的通知》 （发改办价格〔2003〕857号）⽂件标准计算。2、缴费采⽤银⾏转账⽅式⼀次性交纳。开⼾名称：陕西⾦沐烨城项⽬管理有限公司 开⼾银⾏：中国⼯商银⾏股份有限公司汉中北团结街⽀⾏ 银⾏账号：2606050309200192113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西乡县第二中学</w:t>
      </w:r>
      <w:r>
        <w:rPr>
          <w:rFonts w:ascii="仿宋_GB2312" w:hAnsi="仿宋_GB2312" w:cs="仿宋_GB2312" w:eastAsia="仿宋_GB2312"/>
        </w:rPr>
        <w:t>和</w:t>
      </w:r>
      <w:r>
        <w:rPr>
          <w:rFonts w:ascii="仿宋_GB2312" w:hAnsi="仿宋_GB2312" w:cs="仿宋_GB2312" w:eastAsia="仿宋_GB2312"/>
        </w:rPr>
        <w:t>陕西金沐烨城项目管理有限公司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西乡县第二中学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陕西金沐烨城项目管理有限公司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陕西金沐烨城项目管理有限公司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按采购⽂件、 响应⽂件、 采购合同及国家相关标准。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陕西金沐烨城项目管理有限公司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联系人：陈强</w:t>
      </w:r>
    </w:p>
    <w:p>
      <w:pPr>
        <w:pStyle w:val="null3"/>
      </w:pPr>
      <w:r>
        <w:rPr>
          <w:rFonts w:ascii="仿宋_GB2312" w:hAnsi="仿宋_GB2312" w:cs="仿宋_GB2312" w:eastAsia="仿宋_GB2312"/>
        </w:rPr>
        <w:t>联系电话：18392621855</w:t>
      </w:r>
    </w:p>
    <w:p>
      <w:pPr>
        <w:pStyle w:val="null3"/>
      </w:pPr>
      <w:r>
        <w:rPr>
          <w:rFonts w:ascii="仿宋_GB2312" w:hAnsi="仿宋_GB2312" w:cs="仿宋_GB2312" w:eastAsia="仿宋_GB2312"/>
        </w:rPr>
        <w:t>地址：陕西省汉中市西乡县西乡县汉⽩路西段中图⽯油东10⽶院内代理部</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为改善教室照明环境，降低师生视觉疲劳，减少近视发生率，助力教学效率提升；更换教学楼教室日光灯为LED教室护眼灯及LED黑板灯一批。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黑板护眼灯</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80,000.00</w:t>
            </w:r>
          </w:p>
        </w:tc>
        <w:tc>
          <w:tcPr>
            <w:tcW w:type="dxa" w:w="755"/>
          </w:tcPr>
          <w:p>
            <w:pPr>
              <w:pStyle w:val="null3"/>
            </w:pPr>
            <w:r>
              <w:rPr>
                <w:rFonts w:ascii="仿宋_GB2312" w:hAnsi="仿宋_GB2312" w:cs="仿宋_GB2312" w:eastAsia="仿宋_GB2312"/>
              </w:rPr>
              <w:t>盏</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教室护眼灯</w:t>
            </w:r>
          </w:p>
        </w:tc>
        <w:tc>
          <w:tcPr>
            <w:tcW w:type="dxa" w:w="755"/>
          </w:tcPr>
          <w:p>
            <w:pPr>
              <w:pStyle w:val="null3"/>
              <w:jc w:val="right"/>
            </w:pPr>
            <w:r>
              <w:rPr>
                <w:rFonts w:ascii="仿宋_GB2312" w:hAnsi="仿宋_GB2312" w:cs="仿宋_GB2312" w:eastAsia="仿宋_GB2312"/>
              </w:rPr>
              <w:t>900.00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盏</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标的名称：黑板护眼灯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1、LED黑板灯长度≥1200mm；为一体式灯具，灯具外形应平整、无凹陷和毛刺，焊缝无透光现象，表面均匀、光洁，无流挂现象。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2、功率</w:t>
            </w:r>
            <w:r>
              <w:rPr>
                <w:rFonts w:ascii="仿宋_GB2312" w:hAnsi="仿宋_GB2312" w:cs="仿宋_GB2312" w:eastAsia="仿宋_GB2312"/>
                <w:sz w:val="21"/>
              </w:rPr>
              <w:t>≥</w:t>
            </w:r>
            <w:r>
              <w:rPr>
                <w:rFonts w:ascii="仿宋_GB2312" w:hAnsi="仿宋_GB2312" w:cs="仿宋_GB2312" w:eastAsia="仿宋_GB2312"/>
                <w:sz w:val="21"/>
              </w:rPr>
              <w:t>36W，功率因数≥0.90。</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3、色温在4300-5300K区间，色容差≤5。</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4、显色指数≥95，特殊显色指数R9≥80。</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5、LED黑板灯的光生物安全性为无危险类，检验依据GB/T 20145-2006《灯和灯系统的光生物安全性》要求光生物安全性为无危险类。</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6、蓝光危害等级为RG0。</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7、LED黑板灯电子件护眼闪烁频率要求，检验依据GB/T 31831-2015《LED室内照明应用技术要求》，一般照明的LED光源和灯具，其输出光的波形的波动深度在9Hz＜f≤3125Hz 限制FPF≤fx0.08/2.5；波动深度FPF≤1.5%。</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8、LED黑板灯C0-C180面的光学结构是对称配光光束角值85°±2°，C90-C270面的光学结构为非对称配光光束角值35°±2°。</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9、LED黑板灯采用全封闭式结构，灰尘、蚊虫、蜘蛛等不能进入灯具内部结构，外部易清理防护等级IP40。</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10、LED黑板灯依据GB/T 33721-2017 《LED灯具可靠性试验方法》中对应的方法验证，进行25000次开关通断后的光通量与初始光通量的比值≥98%。</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11、LED黑板灯骚扰电压应符合GB/T 31275-2020 （照明设备对人体电磁辐射的评价）的规定，LED 教室灯人体电磁辐射测试满足 20kHz-10MHz 感应电流密 度系数≤0.15。</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12、LED黑板灯依据GB/T 33721-2017 《LED灯具可靠性试验方法》中对应的方法验证，使用设计寿命≥50000小时。</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13、LED黑板灯通过GB/T 26572-2011《电子电气产品中限用物质限量要求》、GB/T 26125-2011《电子电气产品六种限用物质的检测方法》符合性认证。</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14、LED黑板灯通过光环境认证。</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rPr>
              <w:t>15、LED黑板灯依据GB 40070-2021，获得《儿童青少年学习用品近视防控卫生要求》证书。</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16、LED 黑板灯须具备有效的国家强制性 CCC 认证证书，认证证书型号、规格须与投标产品一致。</w:t>
            </w:r>
          </w:p>
        </w:tc>
      </w:tr>
    </w:tbl>
    <w:p>
      <w:pPr>
        <w:pStyle w:val="null3"/>
      </w:pPr>
      <w:r>
        <w:rPr>
          <w:rFonts w:ascii="仿宋_GB2312" w:hAnsi="仿宋_GB2312" w:cs="仿宋_GB2312" w:eastAsia="仿宋_GB2312"/>
        </w:rPr>
        <w:t>标的名称：教室护眼灯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1、LED教室灯采用一体边框，LED灯具，灯具长度1200±10mm、宽度300±10mm ，经喷涂处理或氧化处理，无毛刺，光洁明亮。</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2、功率</w:t>
            </w:r>
            <w:r>
              <w:rPr>
                <w:rFonts w:ascii="仿宋_GB2312" w:hAnsi="仿宋_GB2312" w:cs="仿宋_GB2312" w:eastAsia="仿宋_GB2312"/>
                <w:sz w:val="21"/>
              </w:rPr>
              <w:t>≥</w:t>
            </w:r>
            <w:r>
              <w:rPr>
                <w:rFonts w:ascii="仿宋_GB2312" w:hAnsi="仿宋_GB2312" w:cs="仿宋_GB2312" w:eastAsia="仿宋_GB2312"/>
                <w:sz w:val="21"/>
              </w:rPr>
              <w:t>36W，功率因数≥0.95。</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3、色温在4300-5300K区间，色容差≤5。</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4、显色指数≥95，特殊显色指数R9≥80。</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5、LED教室灯的光生物安全性为无危害类，检验依据GB/T 20145-2006《灯和灯系统的光生物安全性》要求光生物安全性为无危害类。</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6、LED教室灯蓝光危害等级为RG0。</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7、LED教室灯电子件护眼闪烁频率要求，检验依据GB/T 31831-2015《LED室内照明应用技术要求》，一般照明的LED光源和灯具，其输出光的波形的波动深度在9Hz＜f≤3125Hz 限制FPF≤fx0.08/2.5；波动深度FPF≤1.5%。</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8、LED教室灯采用对称配光（根据国家标准的要求），光束角(半峰光束角)在C0-C180面及C90-C270面的值为85°±2°。</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9、灯具采用全封闭式结构，灰尘、蚊虫、蜘蛛等不能进入灯具内部结构，外部易清理防护等级IP40。</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both"/>
            </w:pPr>
            <w:r>
              <w:rPr>
                <w:rFonts w:ascii="仿宋_GB2312" w:hAnsi="仿宋_GB2312" w:cs="仿宋_GB2312" w:eastAsia="仿宋_GB2312"/>
                <w:sz w:val="21"/>
              </w:rPr>
              <w:t>10、依据GB/T 33721-2017 《LED灯具可靠性试验方法》中对应的方法验证，进行25000次开关通断后的光通量与初始光通量的比值≥98%。</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11、灯具骚扰电压应符合GB/T 31275-2020（照明设备对人体电磁辐射的评价）的规定，LED 教室灯人体电磁辐射测试满足20kHz-10MHz感应电流密度系数≤0.15。</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1"/>
              </w:rPr>
              <w:t>12、依据GB/T 33721-2017 《LED灯具可靠性试验方法》中对应的方法验证，使用设计寿命≥50000小时。</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jc w:val="both"/>
            </w:pPr>
            <w:r>
              <w:rPr>
                <w:rFonts w:ascii="仿宋_GB2312" w:hAnsi="仿宋_GB2312" w:cs="仿宋_GB2312" w:eastAsia="仿宋_GB2312"/>
                <w:sz w:val="21"/>
              </w:rPr>
              <w:t>13、LED教室灯至少依据但不限于&lt;GB7793&gt;&lt;GB/T 5700-2008&gt;标准满足课桌面平均照度≥300Lx，照度均匀度≥0.7，百勒克斯照明功率密度≤1.8W/㎡/100lx，教室统一眩光等级UGR&lt;19。</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jc w:val="both"/>
            </w:pPr>
            <w:r>
              <w:rPr>
                <w:rFonts w:ascii="仿宋_GB2312" w:hAnsi="仿宋_GB2312" w:cs="仿宋_GB2312" w:eastAsia="仿宋_GB2312"/>
                <w:sz w:val="21"/>
              </w:rPr>
              <w:t>14、LED教室灯通过GB/T 26572-2011《电子电气产品中限用物质限量要求》、GB/T 26125-2011《电子电气产品六种限用物质的检测方法》符合性认证。</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jc w:val="both"/>
            </w:pPr>
            <w:r>
              <w:rPr>
                <w:rFonts w:ascii="仿宋_GB2312" w:hAnsi="仿宋_GB2312" w:cs="仿宋_GB2312" w:eastAsia="仿宋_GB2312"/>
                <w:sz w:val="21"/>
              </w:rPr>
              <w:t>15、LED教室灯通过光环境认证。</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jc w:val="both"/>
            </w:pPr>
            <w:r>
              <w:rPr>
                <w:rFonts w:ascii="仿宋_GB2312" w:hAnsi="仿宋_GB2312" w:cs="仿宋_GB2312" w:eastAsia="仿宋_GB2312"/>
                <w:sz w:val="21"/>
              </w:rPr>
              <w:t>16、LED教室灯依据GB 40070-2021，获得《儿童青少年学习用品近视防控卫生要求》证书。</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17、教室灯须具备有效的国家强制性 CCC 认证证书，认证证书型号、规格须与投标产品一致。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合同签订之日起12日内供货安装完毕。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西乡县第二中学校内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进度款，项目通过验收，达到付款条件起30个工作日内，支付合同总金额的100.0%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物运输到指定地点后， 按采购⽂件、 响应⽂件、 采购合同组织验收。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1、中标人负责原有灯具的拆除，线路改造，并将原灯具搬运至学校指定地点。不再产生任何费用。 2、样品(需随样品附带投标人样品接收地址信息便于样品退回):①、样品数量:黑板护眼灯及教室护眼灯各1盏。 ②、要求提供产品合格证明文件。 ③、评标委员会成员所推荐的中标候选单位第一名样品在开标结束后不予退还，以备后期签订合同及验收时使用，验收通过后退还。 备注:样品在投标文件提交截止时间前12个小时通过邮寄或现场送达的方式送至陕西省汉中市西乡县汉⽩路西段中图⽯油东10⽶院内代理部，联系人:陈强，联系电话:18392621855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承担⺠事责任能⼒的企业法⼈、事业法⼈、其他组织或⾃然⼈，提供营业执照（事业单位须事业单位法⼈证、组织机构代码证等证明⽂件；其他组织应提供合法证明⽂件、⾃然⼈提供⾝份证明⽂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供应商应授权合法的授权代表参加投标全过程，其中法定代表⼈直接参加投标的，须出具法定代表⼈证明书及法⼈⾝份证，法定代表⼈授权代表参加投标的，须出具法定代表⼈授权书、授权代表本⼈⾝份证；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合同所必需的设备和专业技术能⼒，具有依法缴纳税收和社会保障⾦的良好记录，参加本项⽬采购活动前三年内⽆重⼤违法活动记录。供应商未列⼊在信⽤中国⽹站“失信被执⾏⼈”、“重⼤税收违法案件当事⼈名单”中（www.creditchina.gov.cn），也未列⼊中国政府采购⽹“政府采购严重违法失信⾏为记录名单”中（www.ccgp.gov.cn），按照汉财办采管[2024]20号⽂件要求，提供《汉中市政府采购供应商资格承诺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按照招标文件的要求缴纳，并提供了相关凭证。①以转账、支票、汇票等方式交纳的，须提供相关凭证扫描件以及基本存款账户开户信息扫描件；②以电子保函方式交纳的，须提供保函的扫描件。</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符合招标文件要求，无遗漏。</w:t>
            </w:r>
          </w:p>
        </w:tc>
        <w:tc>
          <w:tcPr>
            <w:tcW w:type="dxa" w:w="1661"/>
          </w:tcPr>
          <w:p>
            <w:pPr>
              <w:pStyle w:val="null3"/>
            </w:pPr>
            <w:r>
              <w:rPr>
                <w:rFonts w:ascii="仿宋_GB2312" w:hAnsi="仿宋_GB2312" w:cs="仿宋_GB2312" w:eastAsia="仿宋_GB2312"/>
              </w:rPr>
              <w:t>开标一览表 业绩一览表.docx 中小企业声明函 商务应答表 资格证明文件.docx 产品技术参数表 投标函 残疾人福利性单位声明函 拒绝政府采购领域商业贿赂承诺书.docx 标的清单 关于符合本国产品标准的声明函 投标文件封面 监狱企业的证明文件 投标保证金.docx 技术方案及投标人认为需要提交的其他内容.docx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投标文件的格式</w:t>
            </w:r>
          </w:p>
        </w:tc>
        <w:tc>
          <w:tcPr>
            <w:tcW w:type="dxa" w:w="3322"/>
          </w:tcPr>
          <w:p>
            <w:pPr>
              <w:pStyle w:val="null3"/>
            </w:pPr>
            <w:r>
              <w:rPr>
                <w:rFonts w:ascii="仿宋_GB2312" w:hAnsi="仿宋_GB2312" w:cs="仿宋_GB2312" w:eastAsia="仿宋_GB2312"/>
              </w:rPr>
              <w:t>按照投标文件格式编写。</w:t>
            </w:r>
          </w:p>
        </w:tc>
        <w:tc>
          <w:tcPr>
            <w:tcW w:type="dxa" w:w="1661"/>
          </w:tcPr>
          <w:p>
            <w:pPr>
              <w:pStyle w:val="null3"/>
            </w:pPr>
            <w:r>
              <w:rPr>
                <w:rFonts w:ascii="仿宋_GB2312" w:hAnsi="仿宋_GB2312" w:cs="仿宋_GB2312" w:eastAsia="仿宋_GB2312"/>
              </w:rPr>
              <w:t>开标一览表 业绩一览表.docx 中小企业声明函 商务应答表 资格证明文件.docx 产品技术参数表 投标函 残疾人福利性单位声明函 拒绝政府采购领域商业贿赂承诺书.docx 标的清单 关于符合本国产品标准的声明函 投标文件封面 监狱企业的证明文件 投标保证金.docx 技术方案及投标人认为需要提交的其他内容.docx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对招标文件的响应程度</w:t>
            </w:r>
          </w:p>
        </w:tc>
        <w:tc>
          <w:tcPr>
            <w:tcW w:type="dxa" w:w="3322"/>
          </w:tcPr>
          <w:p>
            <w:pPr>
              <w:pStyle w:val="null3"/>
            </w:pPr>
            <w:r>
              <w:rPr>
                <w:rFonts w:ascii="仿宋_GB2312" w:hAnsi="仿宋_GB2312" w:cs="仿宋_GB2312" w:eastAsia="仿宋_GB2312"/>
              </w:rPr>
              <w:t>完全响应招标文件，且无任何采购人无法接受的附加条件。</w:t>
            </w:r>
          </w:p>
        </w:tc>
        <w:tc>
          <w:tcPr>
            <w:tcW w:type="dxa" w:w="1661"/>
          </w:tcPr>
          <w:p>
            <w:pPr>
              <w:pStyle w:val="null3"/>
            </w:pPr>
            <w:r>
              <w:rPr>
                <w:rFonts w:ascii="仿宋_GB2312" w:hAnsi="仿宋_GB2312" w:cs="仿宋_GB2312" w:eastAsia="仿宋_GB2312"/>
              </w:rPr>
              <w:t>开标一览表 业绩一览表.docx 中小企业声明函 商务应答表 资格证明文件.docx 产品技术参数表 投标函 残疾人福利性单位声明函 拒绝政府采购领域商业贿赂承诺书.docx 标的清单 关于符合本国产品标准的声明函 投标文件封面 监狱企业的证明文件 投标保证金.docx 技术方案及投标人认为需要提交的其他内容.docx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无法律、法规和招标文件规定的其他投标无效情形。</w:t>
            </w:r>
          </w:p>
        </w:tc>
        <w:tc>
          <w:tcPr>
            <w:tcW w:type="dxa" w:w="1661"/>
          </w:tcPr>
          <w:p>
            <w:pPr>
              <w:pStyle w:val="null3"/>
            </w:pPr>
            <w:r>
              <w:rPr>
                <w:rFonts w:ascii="仿宋_GB2312" w:hAnsi="仿宋_GB2312" w:cs="仿宋_GB2312" w:eastAsia="仿宋_GB2312"/>
              </w:rPr>
              <w:t>开标一览表 业绩一览表.docx 中小企业声明函 商务应答表 资格证明文件.docx 产品技术参数表 投标函 残疾人福利性单位声明函 拒绝政府采购领域商业贿赂承诺书.docx 标的清单 关于符合本国产品标准的声明函 投标文件封面 监狱企业的证明文件 投标保证金.docx 技术方案及投标人认为需要提交的其他内容.docx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产品的技术指标对招标⽂件的响应程度计分：1.★号参数：全部响应并满足参数需求，否则为非实质性响应采购需求，按无效投标处理；2.▲号参数：出现负偏离，每项扣2分。3.无标识参数：出现负偏离，每项扣1分；4.本项累计扣分以本项总分34分为上限，扣完即⽌。</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根据投标人提供所投产品的合法来源渠道证明文件（包括但不限于产品制造商授权或销售协议或代理协议或原厂授权或进货单等）提供所有产品的供货渠道证明材料：缺一项扣2分；未提供任何供货渠道证明材料的：本项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质保期承诺</w:t>
            </w:r>
          </w:p>
        </w:tc>
        <w:tc>
          <w:tcPr>
            <w:tcW w:type="dxa" w:w="2492"/>
          </w:tcPr>
          <w:p>
            <w:pPr>
              <w:pStyle w:val="null3"/>
            </w:pPr>
            <w:r>
              <w:rPr>
                <w:rFonts w:ascii="仿宋_GB2312" w:hAnsi="仿宋_GB2312" w:cs="仿宋_GB2312" w:eastAsia="仿宋_GB2312"/>
              </w:rPr>
              <w:t>本项目免费质保期基础要求为3年。在满足基础要求的前提下，每增加半年免费质保期得1分，满分3分。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号）要求提供国家确定的认证机构出具的、处于有效期之内的节能产品和环境标志产品认证证书，每提供一个得1分，满分4分。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投标人须提供核心产品自2023年1月1日至投标截止时间有类似项目的业绩，每提供一份得2.5分,满分5分。 评审依据：以加盖公章的合同复印件为准，时间以合同签订时间为准。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投标人针对本项目制定实施方案，包括①人员配置②岗位职责分工③运输安全管控措施。上述 3 项内容，每项内容1.5分，满分4.5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安装方案</w:t>
            </w:r>
          </w:p>
        </w:tc>
        <w:tc>
          <w:tcPr>
            <w:tcW w:type="dxa" w:w="2492"/>
          </w:tcPr>
          <w:p>
            <w:pPr>
              <w:pStyle w:val="null3"/>
            </w:pPr>
            <w:r>
              <w:rPr>
                <w:rFonts w:ascii="仿宋_GB2312" w:hAnsi="仿宋_GB2312" w:cs="仿宋_GB2312" w:eastAsia="仿宋_GB2312"/>
              </w:rPr>
              <w:t>投标人针对本项目制定安装方案，包括①备货与进场计划；②施工进度表及工期保障措施；③安装、调试及检测方案；④组织机构人员配置、协调能力等。上述 4 项内容，每项内容1.5分，满分6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投标人针对本项目制定质量保证方案，内容包含：①质量保证体系及目标；②质量保证措施及承诺。上述 2 项内容，每项内容1.5分，满分3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投标人提供本项目培训方案，包括①培训内容（日常使用操作、 维护与管理、常见故障的排除、紧急情况处理等）②培训计划、培训方式等。上述 2 项内容，每项内容1分，满分2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制定售后服务方案，内容包含：①售后服务网点及售后服务人员安排；②各类故障响应时间、响应方式、处理方案；③备品配件供应保障。上述3项内容，每项内容1.5分，满分4.5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技术方案及投标人认为需要提交的其他内容.docx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评标委员会一致认定满足招标文件要求，且经评审的投标价格最低的投标报价为评标基准价，其价格得分计为30分。其他投标人的价格得分统一按公式计算：投标报价得分=(评标基准价/经评审的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详见附件：技术方案及投标人认为需要提交的其他内容.docx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