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版本号：ZQYX-HC-2026-10520260718001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佛坪县2026年垃圾填埋场坝体加高工程项目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ZQYX-HC-2026-105</w:t>
      </w:r>
      <w:r>
        <w:br/>
      </w:r>
      <w:r>
        <w:br/>
      </w:r>
      <w:r>
        <w:br/>
      </w:r>
    </w:p>
    <w:p>
      <w:pPr>
        <w:pStyle w:val="null3"/>
        <w:jc w:val="center"/>
        <w:outlineLvl w:val="2"/>
      </w:pPr>
      <w:r>
        <w:rPr>
          <w:rFonts w:ascii="仿宋_GB2312" w:hAnsi="仿宋_GB2312" w:cs="仿宋_GB2312" w:eastAsia="仿宋_GB2312"/>
          <w:sz w:val="28"/>
          <w:b/>
        </w:rPr>
        <w:t>佛坪县住房和城乡建设管理局</w:t>
      </w:r>
    </w:p>
    <w:p>
      <w:pPr>
        <w:pStyle w:val="null3"/>
        <w:jc w:val="center"/>
        <w:outlineLvl w:val="2"/>
      </w:pPr>
      <w:r>
        <w:rPr>
          <w:rFonts w:ascii="仿宋_GB2312" w:hAnsi="仿宋_GB2312" w:cs="仿宋_GB2312" w:eastAsia="仿宋_GB2312"/>
          <w:sz w:val="28"/>
          <w:b/>
        </w:rPr>
        <w:t>陕西正企优信项目管理有限公司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陕西正企优信项目管理有限公司</w:t>
      </w:r>
      <w:r>
        <w:rPr>
          <w:rFonts w:ascii="仿宋_GB2312" w:hAnsi="仿宋_GB2312" w:cs="仿宋_GB2312" w:eastAsia="仿宋_GB2312"/>
        </w:rPr>
        <w:t>（以下简称“代理机构”）受</w:t>
      </w:r>
      <w:r>
        <w:rPr>
          <w:rFonts w:ascii="仿宋_GB2312" w:hAnsi="仿宋_GB2312" w:cs="仿宋_GB2312" w:eastAsia="仿宋_GB2312"/>
        </w:rPr>
        <w:t>佛坪县住房和城乡建设管理局</w:t>
      </w:r>
      <w:r>
        <w:rPr>
          <w:rFonts w:ascii="仿宋_GB2312" w:hAnsi="仿宋_GB2312" w:cs="仿宋_GB2312" w:eastAsia="仿宋_GB2312"/>
        </w:rPr>
        <w:t>委托，拟对</w:t>
      </w:r>
      <w:r>
        <w:rPr>
          <w:rFonts w:ascii="仿宋_GB2312" w:hAnsi="仿宋_GB2312" w:cs="仿宋_GB2312" w:eastAsia="仿宋_GB2312"/>
        </w:rPr>
        <w:t>佛坪县2026年垃圾填埋场坝体加高工程项目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ZQYX-HC-2026-105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佛坪县2026年垃圾填埋场坝体加高工程项目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佛坪县2026年垃圾填埋场坝体加高工程项目，主要建设内容：新建浆砌块石挡土墙66.5米，浆砌块石排水沟140米，渗滤液导排盲沟350米，新建两级浆砌石垃圾坝子坝，HDPE防渗膜保护层及土工布敷设，以及其他附属工程，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采购包1（佛坪县2026年垃圾填埋场坝体加高工程项目）：属于专门面向中小企业采购。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1、主体资格：供应商为具有独立承担民事责任能力的企业法人或其他组织或自然人，并出具有效的营业执照（事业法人证）或证明文件或自然人的身份证明。</w:t>
      </w:r>
    </w:p>
    <w:p>
      <w:pPr>
        <w:pStyle w:val="null3"/>
      </w:pPr>
      <w:r>
        <w:rPr>
          <w:rFonts w:ascii="仿宋_GB2312" w:hAnsi="仿宋_GB2312" w:cs="仿宋_GB2312" w:eastAsia="仿宋_GB2312"/>
        </w:rPr>
        <w:t>2、授权委托书：法定代表人参加磋商的，提供本人身份证扫描件；法定代表人授权他人参加磋商的，提供法定代表人授权委托书及被授权代表的身份证扫描件。</w:t>
      </w:r>
    </w:p>
    <w:p>
      <w:pPr>
        <w:pStyle w:val="null3"/>
      </w:pPr>
      <w:r>
        <w:rPr>
          <w:rFonts w:ascii="仿宋_GB2312" w:hAnsi="仿宋_GB2312" w:cs="仿宋_GB2312" w:eastAsia="仿宋_GB2312"/>
        </w:rPr>
        <w:t>3、汉中市政府采购供应商资格承诺函：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pPr>
        <w:pStyle w:val="null3"/>
      </w:pPr>
      <w:r>
        <w:rPr>
          <w:rFonts w:ascii="仿宋_GB2312" w:hAnsi="仿宋_GB2312" w:cs="仿宋_GB2312" w:eastAsia="仿宋_GB2312"/>
        </w:rPr>
        <w:t>4、资质证书：供应商应具备市政公用工程施工总承包三级（含三级）及以上资质，并具有有效的安全生产许可证。</w:t>
      </w:r>
    </w:p>
    <w:p>
      <w:pPr>
        <w:pStyle w:val="null3"/>
      </w:pPr>
      <w:r>
        <w:rPr>
          <w:rFonts w:ascii="仿宋_GB2312" w:hAnsi="仿宋_GB2312" w:cs="仿宋_GB2312" w:eastAsia="仿宋_GB2312"/>
        </w:rPr>
        <w:t>5、拟派项目负责人（项目经理）：拟派项目负责人（项目经理）具备市政公用工程专业二级（含二级）及以上注册建造师资格，并具有有效的安全生产考核合格证，且未担任其他在建工程的项目负责人（项目经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佛坪县住房和城乡建设管理局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熊猫大道33号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左先生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18992629636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陕西正企优信项目管理有限公司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陕西省汉中市汉台区陕西省汉中市汉台区汉中路街道办西环南路祥瑞四季印象多层商业楼2层203号营业房</w:t>
      </w:r>
    </w:p>
    <w:p>
      <w:pPr>
        <w:pStyle w:val="null3"/>
      </w:pPr>
      <w:r>
        <w:rPr>
          <w:rFonts w:ascii="仿宋_GB2312" w:hAnsi="仿宋_GB2312" w:cs="仿宋_GB2312" w:eastAsia="仿宋_GB2312"/>
        </w:rPr>
        <w:t xml:space="preserve"> 邮编： </w:t>
      </w:r>
      <w:r>
        <w:rPr>
          <w:rFonts w:ascii="仿宋_GB2312" w:hAnsi="仿宋_GB2312" w:cs="仿宋_GB2312" w:eastAsia="仿宋_GB2312"/>
        </w:rPr>
        <w:t>732000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陈默</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15309166370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佛坪县政府采购管理股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肖老师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0916-8913691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采购包1：1,152,977.49元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开户名称：陕西正企优信项目管理有限公司</w:t>
            </w:r>
          </w:p>
          <w:p>
            <w:pPr>
              <w:pStyle w:val="null3"/>
            </w:pPr>
            <w:r>
              <w:rPr>
                <w:rFonts w:ascii="仿宋_GB2312" w:hAnsi="仿宋_GB2312" w:cs="仿宋_GB2312" w:eastAsia="仿宋_GB2312"/>
              </w:rPr>
              <w:t>开户银行：中国农业银⾏汉中西环路支行</w:t>
            </w:r>
          </w:p>
          <w:p>
            <w:pPr>
              <w:pStyle w:val="null3"/>
            </w:pPr>
            <w:r>
              <w:rPr>
                <w:rFonts w:ascii="仿宋_GB2312" w:hAnsi="仿宋_GB2312" w:cs="仿宋_GB2312" w:eastAsia="仿宋_GB2312"/>
              </w:rPr>
              <w:t>银行账号：26605501040016236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代理服务费收费标准：参考《招标代理服务收费管理暂⾏办法》 的通知（计价格[2002]1980号 ) 和《关于招标代理服务收费有关问题的通知》（发改办价格[2003]857号）的有关规定按标准收取代理服务费。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佛坪县住房和城乡建设管理局</w:t>
      </w:r>
      <w:r>
        <w:rPr>
          <w:rFonts w:ascii="仿宋_GB2312" w:hAnsi="仿宋_GB2312" w:cs="仿宋_GB2312" w:eastAsia="仿宋_GB2312"/>
        </w:rPr>
        <w:t>和</w:t>
      </w:r>
      <w:r>
        <w:rPr>
          <w:rFonts w:ascii="仿宋_GB2312" w:hAnsi="仿宋_GB2312" w:cs="仿宋_GB2312" w:eastAsia="仿宋_GB2312"/>
        </w:rPr>
        <w:t>陕西正企优信项目管理有限公司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佛坪县住房和城乡建设管理局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陕西正企优信项目管理有限公司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佛坪县住房和城乡建设管理局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陕西正企优信项目管理有限公司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①供应商应保证在本项目中使⽤的任何技术、产品和服务（包括部分使⽤），不会产⽣因第三⽅提出侵犯其专利权、商标权或其它知识产权⽽引起的法律和经济纠纷，如存在前述情形，由供应商承担所有相关责任。采购⼈享有本项⽬实施过程中产⽣的知识成果及知识产权。 ②供应商将在采购项⽬实施过程中采⽤⾃有或者第三⽅知识成果的，使⽤该知识成果后，供应商需提供开发接⼝和开发⼿册等技术资料，并承诺提供⽆限期⽀持，采购⼈享有使⽤权（含采购⼈委托第三⽅在该项⽬后续 开 发的使⽤权）。③如采⽤供应商所不拥有的知识产权，则在报价中必须包括合法使⽤该知识产权的相关费⽤。④构成本磋商⽂件的各组成部分，未经采购⼈书⾯同意，供应商不得擅⾃复印或⽤于⾮本磋商项⽬所需的其他⽬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以签订合同为准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陕西正企优信项目管理有限公司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陕西正企优信项目管理有限公司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陕西正企优信项目管理有限公司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联系人：陈默</w:t>
      </w:r>
    </w:p>
    <w:p>
      <w:pPr>
        <w:pStyle w:val="null3"/>
      </w:pPr>
      <w:r>
        <w:rPr>
          <w:rFonts w:ascii="仿宋_GB2312" w:hAnsi="仿宋_GB2312" w:cs="仿宋_GB2312" w:eastAsia="仿宋_GB2312"/>
        </w:rPr>
        <w:t>联系电话：15309166370</w:t>
      </w:r>
    </w:p>
    <w:p>
      <w:pPr>
        <w:pStyle w:val="null3"/>
      </w:pPr>
      <w:r>
        <w:rPr>
          <w:rFonts w:ascii="仿宋_GB2312" w:hAnsi="仿宋_GB2312" w:cs="仿宋_GB2312" w:eastAsia="仿宋_GB2312"/>
        </w:rPr>
        <w:t>地址：陕西省汉中市汉台区陕西省汉中市汉台区汉中路街道办西环南路祥瑞四季印象多层商业楼2层203号营业房</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1,152,977.49</w:t>
      </w:r>
    </w:p>
    <w:p>
      <w:pPr>
        <w:pStyle w:val="null3"/>
      </w:pPr>
      <w:r>
        <w:rPr>
          <w:rFonts w:ascii="仿宋_GB2312" w:hAnsi="仿宋_GB2312" w:cs="仿宋_GB2312" w:eastAsia="仿宋_GB2312"/>
        </w:rPr>
        <w:t>采购包最高限价（元）: 1,152,977.49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佛坪县2026年垃圾填埋场坝体加高工程项目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1,152,977.49</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标的名称：佛坪县2026年垃圾填埋场坝体加高工程项目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清单编制说明</w:t>
            </w:r>
            <w:r>
              <w:br/>
            </w:r>
            <w:r>
              <w:rPr>
                <w:rFonts w:ascii="仿宋_GB2312" w:hAnsi="仿宋_GB2312" w:cs="仿宋_GB2312" w:eastAsia="仿宋_GB2312"/>
              </w:rPr>
              <w:t xml:space="preserve"> 一、工程概况：</w:t>
            </w:r>
            <w:r>
              <w:rPr>
                <w:rFonts w:ascii="仿宋_GB2312" w:hAnsi="仿宋_GB2312" w:cs="仿宋_GB2312" w:eastAsia="仿宋_GB2312"/>
              </w:rPr>
              <w:t>佛坪县2026年垃圾填埋场坝体加高工程项目，主要建设内容：新建浆砌块石挡土墙66.5米，浆砌块石排水沟140米，渗滤液导排盲沟350米，新建两级浆砌石垃圾坝子坝，HDPE防渗膜保护层及土工布敷设，以及其他附属工程。</w:t>
            </w:r>
          </w:p>
          <w:p>
            <w:pPr>
              <w:pStyle w:val="null3"/>
              <w:jc w:val="both"/>
            </w:pPr>
            <w:r>
              <w:rPr>
                <w:rFonts w:ascii="仿宋_GB2312" w:hAnsi="仿宋_GB2312" w:cs="仿宋_GB2312" w:eastAsia="仿宋_GB2312"/>
              </w:rPr>
              <w:t>二、编制范围：</w:t>
            </w:r>
            <w:r>
              <w:rPr>
                <w:rFonts w:ascii="仿宋_GB2312" w:hAnsi="仿宋_GB2312" w:cs="仿宋_GB2312" w:eastAsia="仿宋_GB2312"/>
              </w:rPr>
              <w:t>佛坪县2026年垃圾填埋场坝体加高工程项目方案设计内所有工程内容。</w:t>
            </w:r>
          </w:p>
          <w:p>
            <w:pPr>
              <w:pStyle w:val="null3"/>
              <w:jc w:val="both"/>
            </w:pPr>
            <w:r>
              <w:rPr>
                <w:rFonts w:ascii="仿宋_GB2312" w:hAnsi="仿宋_GB2312" w:cs="仿宋_GB2312" w:eastAsia="仿宋_GB2312"/>
              </w:rPr>
              <w:t>三、编制依据：</w:t>
            </w:r>
            <w:r>
              <w:rPr>
                <w:rFonts w:ascii="仿宋_GB2312" w:hAnsi="仿宋_GB2312" w:cs="仿宋_GB2312" w:eastAsia="仿宋_GB2312"/>
              </w:rPr>
              <w:t>1、佛坪县2026年垃圾填埋场坝体加高工程项目方案设计；</w:t>
            </w:r>
            <w:r>
              <w:rPr>
                <w:rFonts w:ascii="仿宋_GB2312" w:hAnsi="仿宋_GB2312" w:cs="仿宋_GB2312" w:eastAsia="仿宋_GB2312"/>
              </w:rPr>
              <w:t>2、《陕西省住房和城乡建设厅关于印发2025陕西省建设工程费用规则等计价依据的通知》陕建管发〔2025〕10号；</w:t>
            </w:r>
            <w:r>
              <w:rPr>
                <w:rFonts w:ascii="仿宋_GB2312" w:hAnsi="仿宋_GB2312" w:cs="仿宋_GB2312" w:eastAsia="仿宋_GB2312"/>
              </w:rPr>
              <w:t>3、与本工程相关的标准、规范等技术资料；</w:t>
            </w:r>
            <w:r>
              <w:rPr>
                <w:rFonts w:ascii="仿宋_GB2312" w:hAnsi="仿宋_GB2312" w:cs="仿宋_GB2312" w:eastAsia="仿宋_GB2312"/>
              </w:rPr>
              <w:t>4、《陕西省建设工程费用规则》（2025）、《建设工程工程量清单计价标准》（2025）、《市政工程工程量计算标准》及其配套文件。</w:t>
            </w:r>
            <w:r>
              <w:rPr>
                <w:rFonts w:ascii="仿宋_GB2312" w:hAnsi="仿宋_GB2312" w:cs="仿宋_GB2312" w:eastAsia="仿宋_GB2312"/>
              </w:rPr>
              <w:t>5、《陕西省市政工程消耗量定额》（2025）、《陕西省建设工程施工机械台班费用定额》（2025）。</w:t>
            </w:r>
            <w:r>
              <w:rPr>
                <w:rFonts w:ascii="仿宋_GB2312" w:hAnsi="仿宋_GB2312" w:cs="仿宋_GB2312" w:eastAsia="仿宋_GB2312"/>
              </w:rPr>
              <w:t>6、《陕西省市政工程基价表》（2025）。</w:t>
            </w:r>
            <w:r>
              <w:rPr>
                <w:rFonts w:ascii="仿宋_GB2312" w:hAnsi="仿宋_GB2312" w:cs="仿宋_GB2312" w:eastAsia="仿宋_GB2312"/>
              </w:rPr>
              <w:t>7、使用广联达计价软件GCCP7.0编制。</w:t>
            </w:r>
          </w:p>
          <w:p>
            <w:pPr>
              <w:pStyle w:val="null3"/>
              <w:jc w:val="both"/>
            </w:pPr>
            <w:r>
              <w:rPr>
                <w:rFonts w:ascii="仿宋_GB2312" w:hAnsi="仿宋_GB2312" w:cs="仿宋_GB2312" w:eastAsia="仿宋_GB2312"/>
              </w:rPr>
              <w:t>四、相关问题说明：1.</w:t>
            </w:r>
            <w:r>
              <w:rPr>
                <w:rFonts w:ascii="仿宋_GB2312" w:hAnsi="仿宋_GB2312" w:cs="仿宋_GB2312" w:eastAsia="仿宋_GB2312"/>
              </w:rPr>
              <w:t>浆砌垃圾坝子坝土方工程未计入，结算时据实调整；</w:t>
            </w:r>
            <w:r>
              <w:rPr>
                <w:rFonts w:ascii="仿宋_GB2312" w:hAnsi="仿宋_GB2312" w:cs="仿宋_GB2312" w:eastAsia="仿宋_GB2312"/>
              </w:rPr>
              <w:t>2、本预算预留工程暂列金4.78万元，结算时据实调整。</w:t>
            </w:r>
          </w:p>
          <w:p>
            <w:pPr>
              <w:pStyle w:val="null3"/>
            </w:pPr>
            <w:r>
              <w:rPr>
                <w:rFonts w:ascii="仿宋_GB2312" w:hAnsi="仿宋_GB2312" w:cs="仿宋_GB2312" w:eastAsia="仿宋_GB2312"/>
              </w:rPr>
              <w:t>五、工期与质量等级要求：</w:t>
            </w:r>
            <w:r>
              <w:rPr>
                <w:rFonts w:ascii="仿宋_GB2312" w:hAnsi="仿宋_GB2312" w:cs="仿宋_GB2312" w:eastAsia="仿宋_GB2312"/>
              </w:rPr>
              <w:t>工 期：60日历天 ；质量等级：合格。</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工期：60日历天 质量等级：合格</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磋商保证⾦以款项实际⾜额到达指定账⼾为准。若供应商提交保证⾦后因转账失误、账⼾信息错误、转账延迟、⾦额不⾜等⾃⾝或第三⽅原因导致保证⾦未能按期⾜额到账，均视为未按要求缴纳磋商保证⾦，由此产⽣的响应⽆效、资格不予认可、错失磋商参与资格等全部后果，由供应商⾃⾏承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2024或2025年度经审计的财务报告（包含审计报告和审计报告中所涉及的财务报表和报表附注），②可提供2024或2025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供应商为具有独立承担民事责任能力的企业法人或其他组织或自然人，并出具有效的营业执照（事业法人证）或证明文件或自然人的身份证明。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法定代表人参加磋商的，提供本人身份证扫描件；法定代表人授权他人参加磋商的，提供法定代表人授权委托书及被授权代表的身份证扫描件。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供应商应具备市政公用工程施工总承包三级（含三级）及以上资质，并具有有效的安全生产许可证。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拟派项目负责人（项目经理）</w:t>
            </w:r>
          </w:p>
        </w:tc>
        <w:tc>
          <w:tcPr>
            <w:tcW w:type="dxa" w:w="3322"/>
          </w:tcPr>
          <w:p>
            <w:pPr>
              <w:pStyle w:val="null3"/>
            </w:pPr>
            <w:r>
              <w:rPr>
                <w:rFonts w:ascii="仿宋_GB2312" w:hAnsi="仿宋_GB2312" w:cs="仿宋_GB2312" w:eastAsia="仿宋_GB2312"/>
              </w:rPr>
              <w:t>拟派项目负责人（项目经理）具备市政公用工程专业二级（含二级）及以上注册建造师资格，并具有有效的安全生产考核合格证，且未担任其他在建工程的项目负责人（项目经理）。</w:t>
            </w:r>
          </w:p>
        </w:tc>
        <w:tc>
          <w:tcPr>
            <w:tcW w:type="dxa" w:w="1661"/>
          </w:tcPr>
          <w:p>
            <w:pPr>
              <w:pStyle w:val="null3"/>
            </w:pPr>
            <w:r>
              <w:rPr>
                <w:rFonts w:ascii="仿宋_GB2312" w:hAnsi="仿宋_GB2312" w:cs="仿宋_GB2312" w:eastAsia="仿宋_GB2312"/>
              </w:rPr>
              <w:t>供应商应提交的相关资格证明材料.docx 项目管理机构组成表 主要人员简历表</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符合文件要求，响应文件内容齐全、无遗漏</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响应文件封面 供应商应提交的相关资格证明材料.docx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均按文件要求签字、盖章</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响应文件封面 供应商应提交的相关资格证明材料.docx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按磋商文件要求报价，不得提交选择性报价，报价符合竞争性磋商文件的要求</w:t>
            </w:r>
          </w:p>
        </w:tc>
        <w:tc>
          <w:tcPr>
            <w:tcW w:type="dxa" w:w="1661"/>
          </w:tcPr>
          <w:p>
            <w:pPr>
              <w:pStyle w:val="null3"/>
            </w:pPr>
            <w:r>
              <w:rPr>
                <w:rFonts w:ascii="仿宋_GB2312" w:hAnsi="仿宋_GB2312" w:cs="仿宋_GB2312" w:eastAsia="仿宋_GB2312"/>
              </w:rPr>
              <w:t>已标价工程量清单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供应商2023年1月1日至今完成同类项目业绩（市政公用工程），每有1个得2分，最高得4分； 注：磋商响应文件中提供加盖单位公章的合同关键页（至少含签订合同双方单位名称、合同项目名称及签订合同双方的落款盖章、签订日期的关键页）复印件作为评分依据，资料不全不得分。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项目负责人（项目经理）</w:t>
            </w:r>
          </w:p>
        </w:tc>
        <w:tc>
          <w:tcPr>
            <w:tcW w:type="dxa" w:w="2492"/>
          </w:tcPr>
          <w:p>
            <w:pPr>
              <w:pStyle w:val="null3"/>
            </w:pPr>
            <w:r>
              <w:rPr>
                <w:rFonts w:ascii="仿宋_GB2312" w:hAnsi="仿宋_GB2312" w:cs="仿宋_GB2312" w:eastAsia="仿宋_GB2312"/>
              </w:rPr>
              <w:t>项目负责人（项目经理）具有工程类相关专业中级及以上职称得3分。评审依据：身份证、职称证。</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技术负责人（项目总工）</w:t>
            </w:r>
          </w:p>
        </w:tc>
        <w:tc>
          <w:tcPr>
            <w:tcW w:type="dxa" w:w="2492"/>
          </w:tcPr>
          <w:p>
            <w:pPr>
              <w:pStyle w:val="null3"/>
            </w:pPr>
            <w:r>
              <w:rPr>
                <w:rFonts w:ascii="仿宋_GB2312" w:hAnsi="仿宋_GB2312" w:cs="仿宋_GB2312" w:eastAsia="仿宋_GB2312"/>
              </w:rPr>
              <w:t>技术负责人（项目总工）具有工程类相关专业中级及以上职称得3分。评审依据：身份证、职称证。</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提供针对本项目拟派的人员配备清单（施工员、质量员、安全员、材料员、资料员），包含：具体成员身份证、岗位证书或职业培训合格证。提供以上清单中所有内容得10分，每人2分，提供不齐或不提供不得分。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根据供应商针对本项目提供的施工方案内容包括：①具体施工内容、施工次序②施工方法（工艺）③成品（分部分项工程）保护措施等，内容完整且满足采购需求的得15分。每项内容分值5分，每缺一项内容扣5分，每项内容中每有一处缺陷扣2分，单项扣完为止。注：缺陷具体是指对应单项中的内容缺失（不完整）、与对应单项的要求缺少重要节点（如仅有框架或标题、单项内容仅有复制采购内容的要求、涉及内容⽆重点）；单项⽅案中出现套⽤其他项⽬⽅案或内容、内容中出现前后描述不⼀致现象或语⾔描述出现有错误、内容涉及适⽤的规范及标准（⽅法）出现错误、项⽬名称或采购主体表述错误、实施地点区域错误任意⼀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根据供应商针对本项目提供的质量保障方案内容包括：①质量目标管理体系②施工质量的检验制度③确保质量的技术组织措施等，内容完整且满足采购需求的得9分。每项内容分值3分，每缺一项内容扣3分，每项内容中每有一处缺陷扣1分，单项扣完为止。注：缺陷具体是指对应单项中的内容缺失（不完整）、与对应单项的要求缺少重要节点（如仅有框架或标题、单项内容仅有复制采购内容的要求、涉及内容⽆重点）；单项⽅案中出现套⽤其他项⽬⽅案或内容、内容中出现前后描述不⼀致现象或语⾔描述出现有错误、内容涉及适⽤的规范及标准（⽅法）出现错误、项⽬名称或采购主体表述错误、实施地点区域错误任意⼀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工程进度方案</w:t>
            </w:r>
          </w:p>
        </w:tc>
        <w:tc>
          <w:tcPr>
            <w:tcW w:type="dxa" w:w="2492"/>
          </w:tcPr>
          <w:p>
            <w:pPr>
              <w:pStyle w:val="null3"/>
            </w:pPr>
            <w:r>
              <w:rPr>
                <w:rFonts w:ascii="仿宋_GB2312" w:hAnsi="仿宋_GB2312" w:cs="仿宋_GB2312" w:eastAsia="仿宋_GB2312"/>
              </w:rPr>
              <w:t>根据供应商针对本项目提供的工程进度方案内容包括：①劳动力安排计划，②施工机械及材料投入计划，③施工进度网络图或施工进度表等，内容完整且满足采购需求的得9分，每项内容分值3分，每缺一项内容扣3分，每项内容中每有一处缺陷扣1分，单项扣完为止。注：缺陷具体是指对应单项中的内容缺失（不完整）、与对应单项的要求缺少重要节点（如仅有框架或标题、单项内容仅有复制采购内容的要求、涉及内容⽆重点）；单项⽅案中出现套⽤其他项⽬⽅案或内容、内容中出现前后描述不⼀致现象或语⾔描述出现有错误、内容涉及适⽤的规范及标准（⽅法）出现错误、项⽬名称或采购主体表述错误、实施地点区域错误任意⼀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安全文明施工方案</w:t>
            </w:r>
          </w:p>
        </w:tc>
        <w:tc>
          <w:tcPr>
            <w:tcW w:type="dxa" w:w="2492"/>
          </w:tcPr>
          <w:p>
            <w:pPr>
              <w:pStyle w:val="null3"/>
            </w:pPr>
            <w:r>
              <w:rPr>
                <w:rFonts w:ascii="仿宋_GB2312" w:hAnsi="仿宋_GB2312" w:cs="仿宋_GB2312" w:eastAsia="仿宋_GB2312"/>
              </w:rPr>
              <w:t>根据供应商针对本项目提供的安全文明施工方案内容包括：①安全施工目标及施工现场的临时管理措施②文明施工保障措施，③环保控制措施等，内容完整且满足采购需求的得9分。每项内容分值3分，每缺一项内容扣3分，每项内容中每有一处缺陷扣1分，单项扣完为止。注：缺陷具体是指对应单项中的内容缺失（不完整）、与对应单项的要求缺少重要节点（如仅有框架或标题、单项内容仅有复制采购内容的要求、涉及内容⽆重点）；单项⽅案中出现套⽤其他项⽬⽅案或内容、内容中出现前后描述不⼀致现象或语⾔描述出现有错误、内容涉及适⽤的规范及标准（⽅法）出现错误、项⽬名称或采购主体表述错误、实施地点区域错误任意⼀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保修方案</w:t>
            </w:r>
          </w:p>
        </w:tc>
        <w:tc>
          <w:tcPr>
            <w:tcW w:type="dxa" w:w="2492"/>
          </w:tcPr>
          <w:p>
            <w:pPr>
              <w:pStyle w:val="null3"/>
            </w:pPr>
            <w:r>
              <w:rPr>
                <w:rFonts w:ascii="仿宋_GB2312" w:hAnsi="仿宋_GB2312" w:cs="仿宋_GB2312" w:eastAsia="仿宋_GB2312"/>
              </w:rPr>
              <w:t>根据供应商针对本项目提供的保修方案内容包括：①质量保证期内的保障工作计划；②具体保修内容、标准及明确响应时限的承诺等，内容完整且满足采购需求的得8分。每项内容分值4分，每缺一项内容扣4分，每项内容中每有一处缺陷扣1分，单项扣完为止。注：缺陷具体是指对应单项中的内容缺失（不完整）、与对应单项的要求缺少重要节点（如仅有框架或标题、单项内容仅有复制采购内容的要求、涉及内容⽆重点）；单项⽅案中出现套⽤其他项⽬⽅案或内容、内容中出现前后描述不⼀致现象或语⾔描述出现有错误、内容涉及适⽤的规范及标准（⽅法）出现错误、项⽬名称或采购主体表述错误、实施地点区域错误任意⼀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满足竞争性磋商文件要求且最后报价最低的供应商的价格为磋商基准价，其价格分为满分。其他供应商的价格分统一按照下列公式计算：磋商报价得分=（磋商基准价/最后磋商报价）×30×100%。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