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版本号：HXCG-2026-42720260428001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西安高新区灵沼街道2026年农村生活污水治理运营维护项目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HXCG-2026-427</w:t>
      </w:r>
      <w:r>
        <w:br/>
      </w:r>
      <w:r>
        <w:br/>
      </w:r>
      <w:r>
        <w:br/>
      </w:r>
    </w:p>
    <w:p>
      <w:pPr>
        <w:pStyle w:val="null3"/>
        <w:jc w:val="center"/>
        <w:outlineLvl w:val="2"/>
      </w:pPr>
      <w:r>
        <w:rPr>
          <w:rFonts w:ascii="仿宋_GB2312" w:hAnsi="仿宋_GB2312" w:cs="仿宋_GB2312" w:eastAsia="仿宋_GB2312"/>
          <w:sz w:val="28"/>
          <w:b/>
        </w:rPr>
        <w:t>西安市长安区灵沼街道办事处</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西安市长安区灵沼街道办事处</w:t>
      </w:r>
      <w:r>
        <w:rPr>
          <w:rFonts w:ascii="仿宋_GB2312" w:hAnsi="仿宋_GB2312" w:cs="仿宋_GB2312" w:eastAsia="仿宋_GB2312"/>
        </w:rPr>
        <w:t>委托，拟对</w:t>
      </w:r>
      <w:r>
        <w:rPr>
          <w:rFonts w:ascii="仿宋_GB2312" w:hAnsi="仿宋_GB2312" w:cs="仿宋_GB2312" w:eastAsia="仿宋_GB2312"/>
        </w:rPr>
        <w:t>西安高新区灵沼街道2026年农村生活污水治理运营维护项目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HXCG-2026-427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西安高新区灵沼街道2026年农村生活污水治理运营维护项目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西安高新区灵沼街道2026年农村生活污水治理运营维护项目，具体详见招标文件第三章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采购包1（西安高新区灵沼街道2026年农村生活污水治理运营维护项目）：属于专门面向中小企业采购。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含电子营业执照）或事业单位法人证书等国家规定的相关证明，自然人参与的应提供合法登记证明文件。</w:t>
      </w:r>
    </w:p>
    <w:p>
      <w:pPr>
        <w:pStyle w:val="null3"/>
      </w:pPr>
      <w:r>
        <w:rPr>
          <w:rFonts w:ascii="仿宋_GB2312" w:hAnsi="仿宋_GB2312" w:cs="仿宋_GB2312" w:eastAsia="仿宋_GB2312"/>
        </w:rPr>
        <w:t>2、法定代表人授权书/法定代表人身份证明：法定代表人委托代理人参加投标时，应提供法定代表人授权委托书；法定代表人亲自参加投标时，应提供法定代表人身份证明书；其他组织、自然人参加投标的，须出具参加投标的证明资料。</w:t>
      </w:r>
    </w:p>
    <w:p>
      <w:pPr>
        <w:pStyle w:val="null3"/>
      </w:pPr>
      <w:r>
        <w:rPr>
          <w:rFonts w:ascii="仿宋_GB2312" w:hAnsi="仿宋_GB2312" w:cs="仿宋_GB2312" w:eastAsia="仿宋_GB2312"/>
        </w:rPr>
        <w:t>3、税收缴纳证明：提供依法缴纳税收的良好记录，缴费所属日期为投标截止时间前一年内已缴纳任意时段（投标截止时间当月不计入）的增值税（或企业所得税）缴费凭据或纳税的银行转账汇款单、对账单等判定/在法规范围内不需提供的应出具书面说明和证明文件；军队单位不作要求。</w:t>
      </w:r>
    </w:p>
    <w:p>
      <w:pPr>
        <w:pStyle w:val="null3"/>
      </w:pPr>
      <w:r>
        <w:rPr>
          <w:rFonts w:ascii="仿宋_GB2312" w:hAnsi="仿宋_GB2312" w:cs="仿宋_GB2312" w:eastAsia="仿宋_GB2312"/>
        </w:rPr>
        <w:t>4、社会保障资金缴纳证明：提供依法缴纳社会保障资金的良好记录，缴费所属日期为投标截止时间前一年内已缴纳任意时段（投标截止时间当月不计入）的根据银行转账汇款单或社保部门出具的缴纳社会保障金的凭证判定/在法规范围内不需提供的应出具书面说明和证明文件。</w:t>
      </w:r>
    </w:p>
    <w:p>
      <w:pPr>
        <w:pStyle w:val="null3"/>
      </w:pPr>
      <w:r>
        <w:rPr>
          <w:rFonts w:ascii="仿宋_GB2312" w:hAnsi="仿宋_GB2312" w:cs="仿宋_GB2312" w:eastAsia="仿宋_GB2312"/>
        </w:rPr>
        <w:t>5、承诺：投标人具备履行合同所必需的设备和专业技术能力的证明</w:t>
      </w:r>
    </w:p>
    <w:p>
      <w:pPr>
        <w:pStyle w:val="null3"/>
      </w:pPr>
      <w:r>
        <w:rPr>
          <w:rFonts w:ascii="仿宋_GB2312" w:hAnsi="仿宋_GB2312" w:cs="仿宋_GB2312" w:eastAsia="仿宋_GB2312"/>
        </w:rPr>
        <w:t>6、书面声明 ：投标人参加本次采购活动前3年内，在经营活动中没有重大违法记录的书面声明</w:t>
      </w:r>
    </w:p>
    <w:p>
      <w:pPr>
        <w:pStyle w:val="null3"/>
      </w:pPr>
      <w:r>
        <w:rPr>
          <w:rFonts w:ascii="仿宋_GB2312" w:hAnsi="仿宋_GB2312" w:cs="仿宋_GB2312" w:eastAsia="仿宋_GB2312"/>
        </w:rPr>
        <w:t>7、信用记录：投标人不得被列入“信用中国”网站（https://www.creditchina.gov.cn/ ）“失信被执行人”（页面跳转至“中国执行信息公开网”http://zxgk.court.gov.cn/shixin/）、“重大税收违法失信主体”；不得处于中国政府采购网（http://www.ccgp.gov.cn/)“政府采购严重违法失信行为信息记录”中的禁止参加政府采购活动期间；</w:t>
      </w:r>
    </w:p>
    <w:p>
      <w:pPr>
        <w:pStyle w:val="null3"/>
      </w:pPr>
      <w:r>
        <w:rPr>
          <w:rFonts w:ascii="仿宋_GB2312" w:hAnsi="仿宋_GB2312" w:cs="仿宋_GB2312" w:eastAsia="仿宋_GB2312"/>
        </w:rPr>
        <w:t>8、联合体：本项目不接受联合体投标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西安市长安区灵沼街道办事处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西安市长安区灵沼街道里兆渠村甲字1号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029-85856333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陕西省西安市市本级陕西省西安市经济技术开发区凤城八路180号长和国际D座2单元16层21614室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19272982633、13619253884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采购包1：2,571,100.00元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服务费以中标金额为基数，参考《国家计委关于印发&lt;招标代理服务收费管理暂行办法&gt;的通知》（计价格〔2002〕1980号）及《国家发改委关于降低部分建设项目收费标准规范收费行为等有关问题的通知》（发改价格〔2011〕534号）有关规定计取。 2.代理费缴纳账户信息：名称：横信项目管理有限公司 账号：26156801040003827 开户行:中国农业银行股份有限公司西安市长安区航开路支行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西安市长安区灵沼街道办事处</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西安市长安区灵沼街道办事处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西安市长安区灵沼街道办事处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联系人：李静</w:t>
      </w:r>
    </w:p>
    <w:p>
      <w:pPr>
        <w:pStyle w:val="null3"/>
      </w:pPr>
      <w:r>
        <w:rPr>
          <w:rFonts w:ascii="仿宋_GB2312" w:hAnsi="仿宋_GB2312" w:cs="仿宋_GB2312" w:eastAsia="仿宋_GB2312"/>
        </w:rPr>
        <w:t>联系电话：13619253884</w:t>
      </w:r>
    </w:p>
    <w:p>
      <w:pPr>
        <w:pStyle w:val="null3"/>
      </w:pPr>
      <w:r>
        <w:rPr>
          <w:rFonts w:ascii="仿宋_GB2312" w:hAnsi="仿宋_GB2312" w:cs="仿宋_GB2312" w:eastAsia="仿宋_GB2312"/>
        </w:rPr>
        <w:t>地址：陕西省西安市经济技术开发区凤城十二路与文景路交汇处首创国际城八期64栋楼307室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委托运营范围为辖区6座污水处理站、6座提升泵站、77.706公里配套污水收集管网及其他附属设施。为确保辖区内农村污水处理设施正常稳定运行，充分发挥设施环境效益和社会效益，需将场站设备、配套管网及其他附属设施委托具有专业技术及运营管理能力的运营商进行运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2,571,100.00</w:t>
      </w:r>
    </w:p>
    <w:p>
      <w:pPr>
        <w:pStyle w:val="null3"/>
      </w:pPr>
      <w:r>
        <w:rPr>
          <w:rFonts w:ascii="仿宋_GB2312" w:hAnsi="仿宋_GB2312" w:cs="仿宋_GB2312" w:eastAsia="仿宋_GB2312"/>
        </w:rPr>
        <w:t>采购包最高限价（元）: 2,571,100.00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2,571,100.00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21"/>
              </w:rPr>
              <w:t>一、服务内容</w:t>
            </w:r>
          </w:p>
          <w:p>
            <w:pPr>
              <w:pStyle w:val="null3"/>
              <w:ind w:firstLine="640"/>
              <w:jc w:val="both"/>
            </w:pPr>
            <w:r>
              <w:rPr>
                <w:rFonts w:ascii="仿宋_GB2312" w:hAnsi="仿宋_GB2312" w:cs="仿宋_GB2312" w:eastAsia="仿宋_GB2312"/>
                <w:sz w:val="21"/>
              </w:rPr>
              <w:t>（一）负责场站预处理系统、生化处理系统、配电系统、深度处理系统以及污泥处理系统的运营管理，并对各场站的安保、站内卫生、绿化养护进行管理；定期检测出水水质，并不断改善各场站的运行效果。</w:t>
            </w:r>
          </w:p>
          <w:p>
            <w:pPr>
              <w:pStyle w:val="null3"/>
              <w:ind w:firstLine="640"/>
              <w:jc w:val="both"/>
            </w:pPr>
            <w:r>
              <w:rPr>
                <w:rFonts w:ascii="仿宋_GB2312" w:hAnsi="仿宋_GB2312" w:cs="仿宋_GB2312" w:eastAsia="仿宋_GB2312"/>
                <w:sz w:val="21"/>
              </w:rPr>
              <w:t>（二）负责检查泵站设备的运行情况，定期清洁润滑设备，定期检查电气系统，定期检修泵站设备，定期清理泵体内垃圾，保证设备的正常运行。</w:t>
            </w:r>
          </w:p>
          <w:p>
            <w:pPr>
              <w:pStyle w:val="null3"/>
              <w:ind w:firstLine="640"/>
              <w:jc w:val="both"/>
            </w:pPr>
            <w:r>
              <w:rPr>
                <w:rFonts w:ascii="仿宋_GB2312" w:hAnsi="仿宋_GB2312" w:cs="仿宋_GB2312" w:eastAsia="仿宋_GB2312"/>
                <w:sz w:val="21"/>
              </w:rPr>
              <w:t>（三）负责管网收集系统的巡查和一般损坏处置。定期对污水收集管网系统及其相关构筑物进行巡视检查，对管网中出现的一般的漏、坏、堵、溢、露等异常现象，尽快处理和修复；对出现的较严重的影响排水系统正常运行的问题，应及时向街道办事处和主管部门报告，尽快修复设施。</w:t>
            </w:r>
          </w:p>
          <w:p>
            <w:pPr>
              <w:pStyle w:val="null3"/>
              <w:ind w:firstLine="640"/>
              <w:jc w:val="both"/>
            </w:pPr>
            <w:r>
              <w:rPr>
                <w:rFonts w:ascii="仿宋_GB2312" w:hAnsi="仿宋_GB2312" w:cs="仿宋_GB2312" w:eastAsia="仿宋_GB2312"/>
                <w:sz w:val="21"/>
              </w:rPr>
              <w:t>（四）负责调蓄池淤泥清理、转运、处置，保证调蓄池具备调蓄能力；</w:t>
            </w:r>
          </w:p>
          <w:p>
            <w:pPr>
              <w:pStyle w:val="null3"/>
              <w:ind w:firstLine="640"/>
              <w:jc w:val="both"/>
            </w:pPr>
            <w:r>
              <w:rPr>
                <w:rFonts w:ascii="仿宋_GB2312" w:hAnsi="仿宋_GB2312" w:cs="仿宋_GB2312" w:eastAsia="仿宋_GB2312"/>
                <w:sz w:val="21"/>
              </w:rPr>
              <w:t>（五）负责依据国家和当地政府的相关法规标准的规定，对</w:t>
            </w:r>
            <w:r>
              <w:rPr>
                <w:rFonts w:ascii="仿宋_GB2312" w:hAnsi="仿宋_GB2312" w:cs="仿宋_GB2312" w:eastAsia="仿宋_GB2312"/>
                <w:sz w:val="21"/>
                <w:color w:val="000000"/>
              </w:rPr>
              <w:t>产生的污泥及其他固体废物</w:t>
            </w:r>
            <w:r>
              <w:rPr>
                <w:rFonts w:ascii="仿宋_GB2312" w:hAnsi="仿宋_GB2312" w:cs="仿宋_GB2312" w:eastAsia="仿宋_GB2312"/>
                <w:sz w:val="21"/>
                <w:color w:val="000000"/>
              </w:rPr>
              <w:t>、危险废物等废弃物</w:t>
            </w:r>
            <w:r>
              <w:rPr>
                <w:rFonts w:ascii="仿宋_GB2312" w:hAnsi="仿宋_GB2312" w:cs="仿宋_GB2312" w:eastAsia="仿宋_GB2312"/>
                <w:sz w:val="21"/>
                <w:color w:val="000000"/>
              </w:rPr>
              <w:t>进行规范收集、贮存、转移、处置</w:t>
            </w:r>
            <w:r>
              <w:rPr>
                <w:rFonts w:ascii="仿宋_GB2312" w:hAnsi="仿宋_GB2312" w:cs="仿宋_GB2312" w:eastAsia="仿宋_GB2312"/>
                <w:sz w:val="21"/>
                <w:color w:val="000000"/>
              </w:rPr>
              <w:t>，</w:t>
            </w:r>
            <w:r>
              <w:rPr>
                <w:rFonts w:ascii="仿宋_GB2312" w:hAnsi="仿宋_GB2312" w:cs="仿宋_GB2312" w:eastAsia="仿宋_GB2312"/>
                <w:sz w:val="21"/>
                <w:color w:val="000000"/>
              </w:rPr>
              <w:t>处置不能随意丢弃，处置过程、结果要有相应记录，接收单位要有相关手续</w:t>
            </w:r>
            <w:r>
              <w:rPr>
                <w:rFonts w:ascii="仿宋_GB2312" w:hAnsi="仿宋_GB2312" w:cs="仿宋_GB2312" w:eastAsia="仿宋_GB2312"/>
                <w:sz w:val="21"/>
                <w:color w:val="000000"/>
              </w:rPr>
              <w:t>；</w:t>
            </w:r>
          </w:p>
          <w:p>
            <w:pPr>
              <w:pStyle w:val="null3"/>
              <w:ind w:firstLine="640"/>
              <w:jc w:val="both"/>
            </w:pPr>
            <w:r>
              <w:rPr>
                <w:rFonts w:ascii="仿宋_GB2312" w:hAnsi="仿宋_GB2312" w:cs="仿宋_GB2312" w:eastAsia="仿宋_GB2312"/>
                <w:sz w:val="21"/>
              </w:rPr>
              <w:t>（六）负责运行记录、设备检修记录、水质检测记录、废物处置记录等各类资料的填写、收集、归档、保管工作；</w:t>
            </w:r>
          </w:p>
          <w:p>
            <w:pPr>
              <w:pStyle w:val="null3"/>
              <w:ind w:firstLine="640"/>
              <w:jc w:val="both"/>
            </w:pPr>
            <w:r>
              <w:rPr>
                <w:rFonts w:ascii="仿宋_GB2312" w:hAnsi="仿宋_GB2312" w:cs="仿宋_GB2312" w:eastAsia="仿宋_GB2312"/>
                <w:sz w:val="21"/>
              </w:rPr>
              <w:t>（七）负责农村生活污水应急处置。</w:t>
            </w:r>
          </w:p>
          <w:p>
            <w:pPr>
              <w:pStyle w:val="null3"/>
              <w:ind w:firstLine="640"/>
              <w:jc w:val="both"/>
            </w:pPr>
            <w:r>
              <w:rPr>
                <w:rFonts w:ascii="仿宋_GB2312" w:hAnsi="仿宋_GB2312" w:cs="仿宋_GB2312" w:eastAsia="仿宋_GB2312"/>
                <w:sz w:val="21"/>
              </w:rPr>
              <w:t>二、运维要求</w:t>
            </w:r>
          </w:p>
          <w:p>
            <w:pPr>
              <w:pStyle w:val="null3"/>
              <w:ind w:firstLine="640"/>
              <w:jc w:val="both"/>
            </w:pPr>
            <w:r>
              <w:rPr>
                <w:rFonts w:ascii="仿宋_GB2312" w:hAnsi="仿宋_GB2312" w:cs="仿宋_GB2312" w:eastAsia="仿宋_GB2312"/>
                <w:sz w:val="21"/>
              </w:rPr>
              <w:t>要求供应商制定并严格执行相关农村生活污水治理设施运行维护规程等技术与管理文件，明确项目组织管理机制、员工培训制度、运行维护管理、档案管理、安全管理、环境管理、运维考核等内容与要求，建立运维台账，确保运维对象的运行稳定、有效，出水水质达标。制定应急预案，不发生安全事故，无环境污染事件。</w:t>
            </w:r>
          </w:p>
          <w:p>
            <w:pPr>
              <w:pStyle w:val="null3"/>
              <w:ind w:firstLine="640"/>
              <w:jc w:val="both"/>
            </w:pPr>
            <w:r>
              <w:rPr>
                <w:rFonts w:ascii="仿宋_GB2312" w:hAnsi="仿宋_GB2312" w:cs="仿宋_GB2312" w:eastAsia="仿宋_GB2312"/>
                <w:sz w:val="21"/>
              </w:rPr>
              <w:t>（一）服务要求</w:t>
            </w:r>
          </w:p>
          <w:p>
            <w:pPr>
              <w:pStyle w:val="null3"/>
              <w:ind w:firstLine="640"/>
              <w:jc w:val="both"/>
            </w:pPr>
            <w:r>
              <w:rPr>
                <w:rFonts w:ascii="仿宋_GB2312" w:hAnsi="仿宋_GB2312" w:cs="仿宋_GB2312" w:eastAsia="仿宋_GB2312"/>
                <w:sz w:val="21"/>
              </w:rPr>
              <w:t>1.污水处理站运维要求。6座污水站运维期间，实际日处理能力不得低于设计日处理能力，其中表1.1污水处理设施处理后出水水质达到陕西省地方标准《农村生活污水处理设施水污染物排放标准》（DB61/1227-2018），表1.2中污水处理设施处理后出水水质达到《陕西省黄河流域污水综合排放标准》(DB61/224-2018)中B标准，各污水处理站具体出水排放标准详见下表。</w:t>
            </w:r>
          </w:p>
          <w:p>
            <w:pPr>
              <w:pStyle w:val="null3"/>
              <w:jc w:val="center"/>
            </w:pPr>
            <w:r>
              <w:rPr>
                <w:rFonts w:ascii="仿宋_GB2312" w:hAnsi="仿宋_GB2312" w:cs="仿宋_GB2312" w:eastAsia="仿宋_GB2312"/>
                <w:sz w:val="21"/>
              </w:rPr>
              <w:t>表1.1 污水处理站统计表（一）</w:t>
            </w:r>
          </w:p>
          <w:tbl>
            <w:tblPr>
              <w:tblBorders>
                <w:top w:val="none" w:color="000000" w:sz="4"/>
                <w:left w:val="none" w:color="000000" w:sz="4"/>
                <w:bottom w:val="none" w:color="000000" w:sz="4"/>
                <w:right w:val="none" w:color="000000" w:sz="4"/>
                <w:insideH w:val="none"/>
                <w:insideV w:val="none"/>
              </w:tblBorders>
            </w:tblPr>
            <w:tblGrid>
              <w:gridCol w:w="204"/>
              <w:gridCol w:w="786"/>
              <w:gridCol w:w="1070"/>
              <w:gridCol w:w="416"/>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设计规模</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排放标准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苗驾庄村污水处理站</w:t>
                  </w:r>
                  <w:r>
                    <w:rPr>
                      <w:rFonts w:ascii="仿宋_GB2312" w:hAnsi="仿宋_GB2312" w:cs="仿宋_GB2312" w:eastAsia="仿宋_GB2312"/>
                      <w:sz w:val="21"/>
                      <w:color w:val="000000"/>
                    </w:rPr>
                    <w:t>1</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100立方米/日</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二级标准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苗驾庄村污水处理站</w:t>
                  </w:r>
                  <w:r>
                    <w:rPr>
                      <w:rFonts w:ascii="仿宋_GB2312" w:hAnsi="仿宋_GB2312" w:cs="仿宋_GB2312" w:eastAsia="仿宋_GB2312"/>
                      <w:sz w:val="21"/>
                      <w:color w:val="000000"/>
                    </w:rPr>
                    <w:t>2</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200立方米/日</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二级标准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冯村污水处理站</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r>
                    <w:rPr>
                      <w:rFonts w:ascii="仿宋_GB2312" w:hAnsi="仿宋_GB2312" w:cs="仿宋_GB2312" w:eastAsia="仿宋_GB2312"/>
                      <w:sz w:val="21"/>
                    </w:rPr>
                    <w:t>立方米/日</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二级标准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石榴村污水处理站</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r>
                    <w:rPr>
                      <w:rFonts w:ascii="仿宋_GB2312" w:hAnsi="仿宋_GB2312" w:cs="仿宋_GB2312" w:eastAsia="仿宋_GB2312"/>
                      <w:sz w:val="21"/>
                    </w:rPr>
                    <w:t>立方米/日</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二级标准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海子村污水处理站</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r>
                    <w:rPr>
                      <w:rFonts w:ascii="仿宋_GB2312" w:hAnsi="仿宋_GB2312" w:cs="仿宋_GB2312" w:eastAsia="仿宋_GB2312"/>
                      <w:sz w:val="21"/>
                    </w:rPr>
                    <w:t>立方米/日</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二级标准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总计</w:t>
                  </w:r>
                </w:p>
              </w:tc>
              <w:tc>
                <w:tcPr>
                  <w:tcW w:type="dxa" w:w="2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r>
                    <w:rPr>
                      <w:rFonts w:ascii="仿宋_GB2312" w:hAnsi="仿宋_GB2312" w:cs="仿宋_GB2312" w:eastAsia="仿宋_GB2312"/>
                      <w:sz w:val="21"/>
                      <w:color w:val="000000"/>
                    </w:rPr>
                    <w:t>座污水处理站，设计处理能力</w:t>
                  </w:r>
                  <w:r>
                    <w:rPr>
                      <w:rFonts w:ascii="仿宋_GB2312" w:hAnsi="仿宋_GB2312" w:cs="仿宋_GB2312" w:eastAsia="仿宋_GB2312"/>
                      <w:sz w:val="21"/>
                      <w:color w:val="000000"/>
                    </w:rPr>
                    <w:t>1200</w:t>
                  </w:r>
                  <w:r>
                    <w:rPr>
                      <w:rFonts w:ascii="仿宋_GB2312" w:hAnsi="仿宋_GB2312" w:cs="仿宋_GB2312" w:eastAsia="仿宋_GB2312"/>
                      <w:sz w:val="21"/>
                      <w:color w:val="000000"/>
                    </w:rPr>
                    <w:t xml:space="preserve">立方米/日  </w:t>
                  </w:r>
                </w:p>
              </w:tc>
            </w:tr>
          </w:tbl>
          <w:p>
            <w:pPr>
              <w:pStyle w:val="null3"/>
              <w:jc w:val="center"/>
            </w:pPr>
            <w:r>
              <w:rPr>
                <w:rFonts w:ascii="仿宋_GB2312" w:hAnsi="仿宋_GB2312" w:cs="仿宋_GB2312" w:eastAsia="仿宋_GB2312"/>
                <w:sz w:val="21"/>
              </w:rPr>
              <w:t>表1.2 污水处理站统计表（二）</w:t>
            </w:r>
          </w:p>
          <w:tbl>
            <w:tblPr>
              <w:tblBorders>
                <w:top w:val="none" w:color="000000" w:sz="4"/>
                <w:left w:val="none" w:color="000000" w:sz="4"/>
                <w:bottom w:val="none" w:color="000000" w:sz="4"/>
                <w:right w:val="none" w:color="000000" w:sz="4"/>
                <w:insideH w:val="none"/>
                <w:insideV w:val="none"/>
              </w:tblBorders>
            </w:tblPr>
            <w:tblGrid>
              <w:gridCol w:w="204"/>
              <w:gridCol w:w="786"/>
              <w:gridCol w:w="1070"/>
              <w:gridCol w:w="416"/>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设计规模</w:t>
                  </w:r>
                </w:p>
              </w:tc>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排放标准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灵沼村</w:t>
                  </w:r>
                  <w:r>
                    <w:rPr>
                      <w:rFonts w:ascii="仿宋_GB2312" w:hAnsi="仿宋_GB2312" w:cs="仿宋_GB2312" w:eastAsia="仿宋_GB2312"/>
                      <w:sz w:val="21"/>
                      <w:color w:val="000000"/>
                    </w:rPr>
                    <w:t>污水处理站</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1000立方米/日</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w:t>
                  </w:r>
                  <w:r>
                    <w:rPr>
                      <w:rFonts w:ascii="仿宋_GB2312" w:hAnsi="仿宋_GB2312" w:cs="仿宋_GB2312" w:eastAsia="仿宋_GB2312"/>
                      <w:sz w:val="21"/>
                      <w:color w:val="000000"/>
                    </w:rPr>
                    <w:t>标准</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总计</w:t>
                  </w:r>
                </w:p>
              </w:tc>
              <w:tc>
                <w:tcPr>
                  <w:tcW w:type="dxa" w:w="22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座污水处理站，设计处理能力</w:t>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00</w:t>
                  </w:r>
                  <w:r>
                    <w:rPr>
                      <w:rFonts w:ascii="仿宋_GB2312" w:hAnsi="仿宋_GB2312" w:cs="仿宋_GB2312" w:eastAsia="仿宋_GB2312"/>
                      <w:sz w:val="21"/>
                      <w:color w:val="000000"/>
                    </w:rPr>
                    <w:t xml:space="preserve">立方米/日  </w:t>
                  </w:r>
                </w:p>
              </w:tc>
            </w:tr>
          </w:tbl>
          <w:p>
            <w:pPr>
              <w:pStyle w:val="null3"/>
              <w:ind w:left="105" w:firstLine="640"/>
              <w:jc w:val="both"/>
            </w:pPr>
            <w:r>
              <w:rPr>
                <w:rFonts w:ascii="仿宋_GB2312" w:hAnsi="仿宋_GB2312" w:cs="仿宋_GB2312" w:eastAsia="仿宋_GB2312"/>
                <w:sz w:val="21"/>
              </w:rPr>
              <w:t>2.污水收集系统和其他附属设施运维要求。</w:t>
            </w:r>
          </w:p>
          <w:p>
            <w:pPr>
              <w:pStyle w:val="null3"/>
              <w:ind w:left="105" w:firstLine="640"/>
              <w:jc w:val="both"/>
            </w:pPr>
            <w:r>
              <w:rPr>
                <w:rFonts w:ascii="仿宋_GB2312" w:hAnsi="仿宋_GB2312" w:cs="仿宋_GB2312" w:eastAsia="仿宋_GB2312"/>
                <w:sz w:val="21"/>
              </w:rPr>
              <w:t>2.1提升泵站运维要求。负责6座污水提升泵站日常巡查和维护维修，主要包括格栅池残渣清除，泵体、水泵和其他配件维护保养、通风换气、电气系统检查、设备维修、垃圾等废弃物转运和处置、压力管线维修疏通、填写巡检和维修记录等，保证各泵站设备稳定运行。</w:t>
            </w:r>
          </w:p>
          <w:p>
            <w:pPr>
              <w:pStyle w:val="null3"/>
              <w:jc w:val="center"/>
            </w:pPr>
            <w:r>
              <w:rPr>
                <w:rFonts w:ascii="仿宋_GB2312" w:hAnsi="仿宋_GB2312" w:cs="仿宋_GB2312" w:eastAsia="仿宋_GB2312"/>
                <w:sz w:val="21"/>
              </w:rPr>
              <w:t>表2.1污水提升泵站统计表</w:t>
            </w:r>
          </w:p>
          <w:tbl>
            <w:tblPr>
              <w:tblBorders>
                <w:top w:val="none" w:color="000000" w:sz="4"/>
                <w:left w:val="none" w:color="000000" w:sz="4"/>
                <w:bottom w:val="none" w:color="000000" w:sz="4"/>
                <w:right w:val="none" w:color="000000" w:sz="4"/>
                <w:insideH w:val="none"/>
                <w:insideV w:val="none"/>
              </w:tblBorders>
            </w:tblPr>
            <w:tblGrid>
              <w:gridCol w:w="225"/>
              <w:gridCol w:w="521"/>
              <w:gridCol w:w="1114"/>
              <w:gridCol w:w="606"/>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设计规模</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一体化提升泵站</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总规模</w:t>
                  </w:r>
                  <w:r>
                    <w:rPr>
                      <w:rFonts w:ascii="仿宋_GB2312" w:hAnsi="仿宋_GB2312" w:cs="仿宋_GB2312" w:eastAsia="仿宋_GB2312"/>
                      <w:sz w:val="21"/>
                      <w:color w:val="000000"/>
                    </w:rPr>
                    <w:t>190</w:t>
                  </w:r>
                  <w:r>
                    <w:rPr>
                      <w:rFonts w:ascii="仿宋_GB2312" w:hAnsi="仿宋_GB2312" w:cs="仿宋_GB2312" w:eastAsia="仿宋_GB2312"/>
                      <w:sz w:val="21"/>
                      <w:color w:val="000000"/>
                    </w:rPr>
                    <w:t>m³/h。</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6座</w:t>
                  </w:r>
                </w:p>
              </w:tc>
            </w:tr>
          </w:tbl>
          <w:p>
            <w:pPr>
              <w:pStyle w:val="null3"/>
              <w:ind w:left="105" w:firstLine="640"/>
              <w:jc w:val="both"/>
            </w:pPr>
            <w:r>
              <w:rPr>
                <w:rFonts w:ascii="仿宋_GB2312" w:hAnsi="仿宋_GB2312" w:cs="仿宋_GB2312" w:eastAsia="仿宋_GB2312"/>
                <w:sz w:val="21"/>
              </w:rPr>
              <w:t>2.2污水收集管网运维要求。负责重力流污水收水管网日常巡查和维护维修，主要包括污水收集管网日常巡检、疏通、管道破损维修、其他安全设施检查等，保证污水收集管网畅通，无堵塞、漏水现象。</w:t>
            </w:r>
          </w:p>
          <w:p>
            <w:pPr>
              <w:pStyle w:val="null3"/>
              <w:ind w:left="105" w:firstLine="640"/>
              <w:jc w:val="both"/>
            </w:pPr>
            <w:r>
              <w:rPr>
                <w:rFonts w:ascii="仿宋_GB2312" w:hAnsi="仿宋_GB2312" w:cs="仿宋_GB2312" w:eastAsia="仿宋_GB2312"/>
                <w:sz w:val="21"/>
              </w:rPr>
              <w:t>2.3其他附属配套设施运维要求。负责检查井井盖、隔油井井盖、防坠网等易损件维修更换，因管道问题造成的管道附近路面塌陷维修及其他其他附属配套设施维护维修，保证井盖及管道附近路面平整、稳固、其他附属设施正常运行；定期清理调蓄池内淤泥，保证调蓄池通畅蓄水，具备调蓄能力。</w:t>
            </w:r>
          </w:p>
          <w:p>
            <w:pPr>
              <w:pStyle w:val="null3"/>
              <w:jc w:val="center"/>
            </w:pPr>
            <w:r>
              <w:rPr>
                <w:rFonts w:ascii="仿宋_GB2312" w:hAnsi="仿宋_GB2312" w:cs="仿宋_GB2312" w:eastAsia="仿宋_GB2312"/>
                <w:sz w:val="21"/>
              </w:rPr>
              <w:t>表2.2 收水管网统及其他附属设施统计表</w:t>
            </w:r>
          </w:p>
          <w:tbl>
            <w:tblPr>
              <w:tblBorders>
                <w:top w:val="none" w:color="000000" w:sz="4"/>
                <w:left w:val="none" w:color="000000" w:sz="4"/>
                <w:bottom w:val="none" w:color="000000" w:sz="4"/>
                <w:right w:val="none" w:color="000000" w:sz="4"/>
                <w:insideH w:val="none"/>
                <w:insideV w:val="none"/>
              </w:tblBorders>
            </w:tblPr>
            <w:tblGrid>
              <w:gridCol w:w="225"/>
              <w:gridCol w:w="521"/>
              <w:gridCol w:w="1114"/>
              <w:gridCol w:w="606"/>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设计规模</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收水管网</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管径DN1000、DN500、DN300、DN200</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77.706公里</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其他附属设施</w:t>
                  </w: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检查井、隔油井等</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约5500</w:t>
                  </w:r>
                  <w:r>
                    <w:rPr>
                      <w:rFonts w:ascii="仿宋_GB2312" w:hAnsi="仿宋_GB2312" w:cs="仿宋_GB2312" w:eastAsia="仿宋_GB2312"/>
                      <w:sz w:val="21"/>
                      <w:color w:val="000000"/>
                    </w:rPr>
                    <w:t>个</w:t>
                  </w:r>
                </w:p>
              </w:tc>
            </w:tr>
          </w:tbl>
          <w:p>
            <w:pPr>
              <w:pStyle w:val="null3"/>
              <w:ind w:firstLine="640"/>
              <w:jc w:val="both"/>
            </w:pPr>
            <w:r>
              <w:rPr>
                <w:rFonts w:ascii="仿宋_GB2312" w:hAnsi="仿宋_GB2312" w:cs="仿宋_GB2312" w:eastAsia="仿宋_GB2312"/>
                <w:sz w:val="21"/>
              </w:rPr>
              <w:t>（二）管理要求</w:t>
            </w:r>
          </w:p>
          <w:p>
            <w:pPr>
              <w:pStyle w:val="null3"/>
              <w:ind w:left="105" w:firstLine="640"/>
              <w:jc w:val="both"/>
            </w:pPr>
            <w:r>
              <w:rPr>
                <w:rFonts w:ascii="仿宋_GB2312" w:hAnsi="仿宋_GB2312" w:cs="仿宋_GB2312" w:eastAsia="仿宋_GB2312"/>
                <w:sz w:val="21"/>
              </w:rPr>
              <w:t>1.人员配置</w:t>
            </w:r>
          </w:p>
          <w:p>
            <w:pPr>
              <w:pStyle w:val="null3"/>
              <w:ind w:left="105" w:firstLine="640"/>
              <w:jc w:val="both"/>
            </w:pPr>
            <w:r>
              <w:rPr>
                <w:rFonts w:ascii="仿宋_GB2312" w:hAnsi="仿宋_GB2312" w:cs="仿宋_GB2312" w:eastAsia="仿宋_GB2312"/>
                <w:sz w:val="21"/>
              </w:rPr>
              <w:t>至少配</w:t>
            </w:r>
            <w:r>
              <w:rPr>
                <w:rFonts w:ascii="仿宋_GB2312" w:hAnsi="仿宋_GB2312" w:cs="仿宋_GB2312" w:eastAsia="仿宋_GB2312"/>
                <w:sz w:val="21"/>
                <w:color w:val="000000"/>
              </w:rPr>
              <w:t>备</w:t>
            </w:r>
            <w:r>
              <w:rPr>
                <w:rFonts w:ascii="仿宋_GB2312" w:hAnsi="仿宋_GB2312" w:cs="仿宋_GB2312" w:eastAsia="仿宋_GB2312"/>
                <w:sz w:val="21"/>
                <w:color w:val="000000"/>
              </w:rPr>
              <w:t>10</w:t>
            </w:r>
            <w:r>
              <w:rPr>
                <w:rFonts w:ascii="仿宋_GB2312" w:hAnsi="仿宋_GB2312" w:cs="仿宋_GB2312" w:eastAsia="仿宋_GB2312"/>
                <w:sz w:val="21"/>
                <w:color w:val="000000"/>
              </w:rPr>
              <w:t>名</w:t>
            </w:r>
            <w:r>
              <w:rPr>
                <w:rFonts w:ascii="仿宋_GB2312" w:hAnsi="仿宋_GB2312" w:cs="仿宋_GB2312" w:eastAsia="仿宋_GB2312"/>
                <w:sz w:val="21"/>
              </w:rPr>
              <w:t>专职运维人员。提供年度培训计划，包括安全操作、应急处理等内容。</w:t>
            </w:r>
          </w:p>
          <w:p>
            <w:pPr>
              <w:pStyle w:val="null3"/>
              <w:ind w:left="105" w:firstLine="640"/>
              <w:jc w:val="both"/>
            </w:pPr>
            <w:r>
              <w:rPr>
                <w:rFonts w:ascii="仿宋_GB2312" w:hAnsi="仿宋_GB2312" w:cs="仿宋_GB2312" w:eastAsia="仿宋_GB2312"/>
                <w:sz w:val="21"/>
              </w:rPr>
              <w:t>2.安全管理</w:t>
            </w:r>
          </w:p>
          <w:p>
            <w:pPr>
              <w:pStyle w:val="null3"/>
              <w:ind w:left="105" w:firstLine="640"/>
              <w:jc w:val="both"/>
            </w:pPr>
            <w:r>
              <w:rPr>
                <w:rFonts w:ascii="仿宋_GB2312" w:hAnsi="仿宋_GB2312" w:cs="仿宋_GB2312" w:eastAsia="仿宋_GB2312"/>
                <w:sz w:val="21"/>
              </w:rPr>
              <w:t>制定有限空间作业、防硫化氢中毒、防爆等安全规程。配备安全防护装备（气体检测仪、正压式呼吸器等）。</w:t>
            </w:r>
          </w:p>
          <w:p>
            <w:pPr>
              <w:pStyle w:val="null3"/>
              <w:ind w:left="105" w:firstLine="640"/>
              <w:jc w:val="both"/>
            </w:pPr>
            <w:r>
              <w:rPr>
                <w:rFonts w:ascii="仿宋_GB2312" w:hAnsi="仿宋_GB2312" w:cs="仿宋_GB2312" w:eastAsia="仿宋_GB2312"/>
                <w:sz w:val="21"/>
              </w:rPr>
              <w:t>3.档案管理</w:t>
            </w:r>
          </w:p>
          <w:p>
            <w:pPr>
              <w:pStyle w:val="null3"/>
              <w:ind w:left="105" w:firstLine="640"/>
              <w:jc w:val="both"/>
            </w:pPr>
            <w:r>
              <w:rPr>
                <w:rFonts w:ascii="仿宋_GB2312" w:hAnsi="仿宋_GB2312" w:cs="仿宋_GB2312" w:eastAsia="仿宋_GB2312"/>
                <w:sz w:val="21"/>
              </w:rPr>
              <w:t>建立电子化运维台账，包括巡检记录、维修记录、水质报告等，保存期不少于3年。</w:t>
            </w:r>
          </w:p>
          <w:p>
            <w:pPr>
              <w:pStyle w:val="null3"/>
              <w:ind w:left="105" w:firstLine="640"/>
              <w:jc w:val="both"/>
            </w:pPr>
            <w:r>
              <w:rPr>
                <w:rFonts w:ascii="仿宋_GB2312" w:hAnsi="仿宋_GB2312" w:cs="仿宋_GB2312" w:eastAsia="仿宋_GB2312"/>
                <w:sz w:val="21"/>
              </w:rPr>
              <w:t>4.应急管理</w:t>
            </w:r>
          </w:p>
          <w:p>
            <w:pPr>
              <w:pStyle w:val="null3"/>
            </w:pPr>
            <w:r>
              <w:rPr>
                <w:rFonts w:ascii="仿宋_GB2312" w:hAnsi="仿宋_GB2312" w:cs="仿宋_GB2312" w:eastAsia="仿宋_GB2312"/>
                <w:sz w:val="21"/>
              </w:rPr>
              <w:t>编制防汛、停电、设备故障等应急预案，每年至少组织1次演练。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至少配备10名专职运维人员。提供年度培训计划，包括安全操作、应急处理等内容。</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考核：服务期内采购人定期检查污水处理系统运行情况，检查中污水站出水应无异味、颜色无异常、污泥堆放处置规范，提升泵站内应无大量垃圾、提升泵正常运行，污水收集管网应畅通,无堵塞现象；由区级部门每季度对污水处理站开展1次监督性监测，出水水质应达到合同“委托内容”中约定的标准。每半年进行一次考核，可采取且不限于现场检查、专家评定等方式进行判定，定期检查、监督性监测等纳入考核内容，考核合格后，出具合格证明，考核结果作为付款依据。 （二）综合验收：服务期满且完成本合同服务内容，供应商向采购人提出申请，采购人接到供应商验收申请后组织综合验收，验收合格后，出具验收合格证明，验收结果作为付款依据。供应商向采购人提交实施过程中的所有资料，以便采购人日后管理和维护。 （三）服务期计算方法:污水处理站初次验收合格后起算服务期，进入服务期的污水处理站运维总设计量超过18000立方米/日，且运维服务期大于等于180日时视为“服务期满180日”；所有污水处理站运维服务期满365日视为“项目履行完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服务期满180日且考核合格后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项目履行完毕，考核合格且通过验收后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以签订的合同为准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提供2024年度或2025年度经审计的财务会计报告或其提交响应文件截止时间前3个月内银行出具的资信证明。（以上形式的资料提供任何一种即可）</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具有独立承担民事责任能力的法人、其他组织或自然人，并出具合法有效的营业执照（含电子营业执照）或事业单位法人证书等国家规定的相关证明，自然人参与的应提供合法登记证明文件。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法定代表人委托代理人参加投标时，应提供法定代表人授权委托书；法定代表人亲自参加投标时，应提供法定代表人身份证明书；其他组织、自然人参加投标的，须出具参加投标的证明资料。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依法缴纳税收的良好记录，缴费所属日期为投标截止时间前一年内已缴纳任意时段（投标截止时间当月不计入）的增值税（或企业所得税）缴费凭据或纳税的银行转账汇款单、对账单等判定/在法规范围内不需提供的应出具书面说明和证明文件；军队单位不作要求。</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依法缴纳社会保障资金的良好记录，缴费所属日期为投标截止时间前一年内已缴纳任意时段（投标截止时间当月不计入）的根据银行转账汇款单或社保部门出具的缴纳社会保障金的凭证判定/在法规范围内不需提供的应出具书面说明和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投标人具备履行合同所必需的设备和专业技术能力的证明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投标人参加本次采购活动前3年内，在经营活动中没有重大违法记录的书面声明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投标人不得被列入“信用中国”网站（https://www.creditchina.gov.cn/ ）“失信被执行人”（页面跳转至“中国执行信息公开网”http://zxgk.court.gov.cn/shixin/）、“重大税收违法失信主体”；不得处于中国政府采购网（http://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中小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不存在其他不符合法律法规或招标文件规定的投标无效条款的情形</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投标文件按照招标要求签署、盖章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根据供应商针对本项目提供的运维服务方案科学性、合理性、完善程度进行赋分，包括 1.设备设施巡检措施； 2.设备设施维保措施； 3.药剂配置投放措施； 4.水质检测措施； 5.异常情况排查及协调措施； 6.绿化及环境清洁措施； 7.污泥处理措施； 8.档案管理措施； 9.安全管理措施； 10应急处置措施；1 1.管网和其他附属设施维护措施； 12智能化管理措施等方面。 每项措施内容全面、具体、可行、科学合理，可操作性强得3分； 每项措施内容相对全面、可操作性一般得2分； 每项措施内容简单、空泛，不具有可操作性得1分； 未提供相关内容不得分。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具有完善的管理制度，根据管理制度的详细程度、针对性程度进行赋分，包括 1.药剂使用制度； 2.检测制度； 3.巡检制度； 4.废物处置管理制度； 5.维保制度； 6.档案管理制度； 7.人员管理制度； 8有限空间作业制度； 9.HSE制度等。 每项制度均有详细且针对性说明的得3分; 每项制度仅有描述但不够完善的得2分; 每项制度简单、空泛，不具有可操作性得1分； 未提供相关资料不得分。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根据本项目的特点，制定合理可行的服务质量保证措施，保证污水处理站及配套设施和管网正常运行。 措施详细完整、可行性、针对性强，能高质量的确保项目服务质量，得7分； 措施相对完整，有一定的可行性及针对性，以保证项目质量，得4分； 措施简略、可行性存在不足，得1分； 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须提供针对本项目的详细人员配备情况，拟配置人员必须为现单位正式职工，提供社保和劳动合同证明，不同单位任职的同类工作经验可累加计算（不同单位工作经验均需提供社保证明）。 1、项目负责人：拟投入本项目的项目负责人有5年以上同类工作经验得5分；项目负责人3-5年同类工作经验得3分；项目负责人3年以下同类工作经验得1分。 2、其他人员：除项目负责人外，其他人员应配置不少于9人。其他人员配置齐全并有相关工作经验得4分； 其他人员配置齐全且部分人员有工作经验得3分； 其他人员配置齐全，无相关工作经验得2分； 没有提供不得分。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供应商（2023年1月1日至今）类似项目业绩，每个有效业绩得3分，满6分。(以合同为准，业绩有效时间以合同签订时间为准，复印件加盖公章。)未提供相关内容不得分。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满足招标文件要求且投标价格最低的报价为评标基准价，其价格分为满分。其他供应商的价格分统一按照下列公式计算：价格分=(评标基准价／投标报价)×15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详见附件：灵沼街道2026年农村生活污水处理设施运营维护项目合同(1).docx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