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DE06E">
      <w:pPr>
        <w:pageBreakBefore w:val="0"/>
        <w:wordWrap/>
        <w:topLinePunct w:val="0"/>
        <w:autoSpaceDE w:val="0"/>
        <w:autoSpaceDN w:val="0"/>
        <w:bidi w:val="0"/>
        <w:adjustRightInd w:val="0"/>
        <w:snapToGrid w:val="0"/>
        <w:spacing w:beforeAutospacing="0" w:afterAutospacing="0" w:line="560" w:lineRule="exact"/>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 xml:space="preserve"> </w:t>
      </w:r>
    </w:p>
    <w:p w14:paraId="2743501F">
      <w:pPr>
        <w:pStyle w:val="3"/>
        <w:pageBreakBefore w:val="0"/>
        <w:wordWrap/>
        <w:topLinePunct w:val="0"/>
        <w:bidi w:val="0"/>
        <w:spacing w:beforeAutospacing="0" w:afterAutospacing="0" w:line="560" w:lineRule="exact"/>
        <w:rPr>
          <w:rFonts w:hint="eastAsia" w:ascii="仿宋_GB2312" w:hAnsi="仿宋_GB2312" w:eastAsia="仿宋_GB2312" w:cs="仿宋_GB2312"/>
          <w:b/>
          <w:bCs/>
          <w:sz w:val="44"/>
          <w:szCs w:val="44"/>
        </w:rPr>
      </w:pPr>
    </w:p>
    <w:p w14:paraId="7316600C">
      <w:pPr>
        <w:pStyle w:val="4"/>
        <w:pageBreakBefore w:val="0"/>
        <w:wordWrap/>
        <w:topLinePunct w:val="0"/>
        <w:bidi w:val="0"/>
        <w:spacing w:beforeAutospacing="0" w:afterAutospacing="0" w:line="560" w:lineRule="exact"/>
        <w:ind w:left="834"/>
      </w:pPr>
    </w:p>
    <w:p w14:paraId="1473F1BF">
      <w:pPr>
        <w:pageBreakBefore w:val="0"/>
        <w:wordWrap/>
        <w:topLinePunct w:val="0"/>
        <w:autoSpaceDE w:val="0"/>
        <w:autoSpaceDN w:val="0"/>
        <w:bidi w:val="0"/>
        <w:adjustRightInd w:val="0"/>
        <w:snapToGrid w:val="0"/>
        <w:spacing w:beforeAutospacing="0" w:afterAutospacing="0" w:line="560" w:lineRule="exact"/>
        <w:jc w:val="center"/>
        <w:rPr>
          <w:rFonts w:eastAsia="方正小标宋简体"/>
          <w:bCs/>
          <w:spacing w:val="1"/>
          <w:kern w:val="0"/>
          <w:sz w:val="40"/>
          <w:szCs w:val="40"/>
        </w:rPr>
      </w:pPr>
      <w:r>
        <w:rPr>
          <w:rFonts w:hint="eastAsia" w:eastAsia="方正小标宋简体"/>
          <w:bCs/>
          <w:spacing w:val="1"/>
          <w:kern w:val="0"/>
          <w:sz w:val="40"/>
          <w:szCs w:val="40"/>
          <w:lang w:eastAsia="zh-CN"/>
        </w:rPr>
        <w:t>灵沼街道办事处</w:t>
      </w:r>
      <w:r>
        <w:rPr>
          <w:rFonts w:eastAsia="方正小标宋简体"/>
          <w:bCs/>
          <w:spacing w:val="1"/>
          <w:kern w:val="0"/>
          <w:sz w:val="40"/>
          <w:szCs w:val="40"/>
        </w:rPr>
        <w:t>202</w:t>
      </w:r>
      <w:r>
        <w:rPr>
          <w:rFonts w:hint="eastAsia" w:eastAsia="方正小标宋简体"/>
          <w:bCs/>
          <w:color w:val="000000" w:themeColor="text1"/>
          <w:spacing w:val="1"/>
          <w:kern w:val="0"/>
          <w:sz w:val="40"/>
          <w:szCs w:val="40"/>
          <w:lang w:val="en-US" w:eastAsia="zh-CN"/>
          <w14:textFill>
            <w14:solidFill>
              <w14:schemeClr w14:val="tx1"/>
            </w14:solidFill>
          </w14:textFill>
        </w:rPr>
        <w:t>6</w:t>
      </w:r>
      <w:r>
        <w:rPr>
          <w:rFonts w:eastAsia="方正小标宋简体"/>
          <w:bCs/>
          <w:spacing w:val="1"/>
          <w:kern w:val="0"/>
          <w:sz w:val="40"/>
          <w:szCs w:val="40"/>
        </w:rPr>
        <w:t>年农村污水处理设施</w:t>
      </w:r>
    </w:p>
    <w:p w14:paraId="2BFEC653">
      <w:pPr>
        <w:pageBreakBefore w:val="0"/>
        <w:wordWrap/>
        <w:topLinePunct w:val="0"/>
        <w:autoSpaceDE w:val="0"/>
        <w:autoSpaceDN w:val="0"/>
        <w:bidi w:val="0"/>
        <w:adjustRightInd w:val="0"/>
        <w:snapToGrid w:val="0"/>
        <w:spacing w:beforeAutospacing="0" w:afterAutospacing="0" w:line="560" w:lineRule="exact"/>
        <w:jc w:val="center"/>
        <w:rPr>
          <w:rFonts w:eastAsia="方正小标宋简体"/>
          <w:bCs/>
          <w:spacing w:val="1"/>
          <w:kern w:val="0"/>
          <w:sz w:val="40"/>
          <w:szCs w:val="40"/>
        </w:rPr>
      </w:pPr>
      <w:r>
        <w:rPr>
          <w:rFonts w:eastAsia="方正小标宋简体"/>
          <w:bCs/>
          <w:spacing w:val="1"/>
          <w:kern w:val="0"/>
          <w:sz w:val="40"/>
          <w:szCs w:val="40"/>
        </w:rPr>
        <w:t>运维项目服务合同</w:t>
      </w:r>
    </w:p>
    <w:p w14:paraId="4DA0CC5F">
      <w:pPr>
        <w:pStyle w:val="2"/>
        <w:pageBreakBefore w:val="0"/>
        <w:wordWrap/>
        <w:topLinePunct w:val="0"/>
        <w:bidi w:val="0"/>
        <w:spacing w:beforeAutospacing="0" w:afterAutospacing="0" w:line="560" w:lineRule="exact"/>
        <w:rPr>
          <w:rFonts w:hint="eastAsia" w:ascii="仿宋_GB2312" w:hAnsi="仿宋_GB2312" w:eastAsia="仿宋_GB2312" w:cs="仿宋_GB2312"/>
          <w:sz w:val="50"/>
          <w:szCs w:val="50"/>
        </w:rPr>
      </w:pPr>
    </w:p>
    <w:p w14:paraId="2FFE5A10">
      <w:pPr>
        <w:pageBreakBefore w:val="0"/>
        <w:wordWrap/>
        <w:topLinePunct w:val="0"/>
        <w:bidi w:val="0"/>
        <w:spacing w:beforeAutospacing="0" w:afterAutospacing="0" w:line="560" w:lineRule="exact"/>
      </w:pPr>
    </w:p>
    <w:p w14:paraId="535B428B">
      <w:pPr>
        <w:pStyle w:val="3"/>
        <w:pageBreakBefore w:val="0"/>
        <w:wordWrap/>
        <w:topLinePunct w:val="0"/>
        <w:bidi w:val="0"/>
        <w:spacing w:beforeAutospacing="0" w:afterAutospacing="0" w:line="560" w:lineRule="exact"/>
      </w:pPr>
    </w:p>
    <w:p w14:paraId="5BABAE7E">
      <w:pPr>
        <w:pStyle w:val="4"/>
        <w:pageBreakBefore w:val="0"/>
        <w:wordWrap/>
        <w:topLinePunct w:val="0"/>
        <w:bidi w:val="0"/>
        <w:spacing w:beforeAutospacing="0" w:afterAutospacing="0" w:line="560" w:lineRule="exact"/>
        <w:ind w:left="834"/>
      </w:pPr>
    </w:p>
    <w:p w14:paraId="5D420C51">
      <w:pPr>
        <w:pageBreakBefore w:val="0"/>
        <w:wordWrap/>
        <w:topLinePunct w:val="0"/>
        <w:bidi w:val="0"/>
        <w:spacing w:beforeAutospacing="0" w:afterAutospacing="0" w:line="560" w:lineRule="exact"/>
      </w:pPr>
    </w:p>
    <w:p w14:paraId="342F271D">
      <w:pPr>
        <w:pStyle w:val="3"/>
        <w:pageBreakBefore w:val="0"/>
        <w:wordWrap/>
        <w:topLinePunct w:val="0"/>
        <w:bidi w:val="0"/>
        <w:spacing w:beforeAutospacing="0" w:afterAutospacing="0" w:line="560" w:lineRule="exact"/>
      </w:pPr>
    </w:p>
    <w:p w14:paraId="372FE6C7">
      <w:pPr>
        <w:pStyle w:val="4"/>
        <w:pageBreakBefore w:val="0"/>
        <w:wordWrap/>
        <w:topLinePunct w:val="0"/>
        <w:bidi w:val="0"/>
        <w:spacing w:beforeAutospacing="0" w:afterAutospacing="0" w:line="560" w:lineRule="exact"/>
        <w:ind w:left="834"/>
      </w:pPr>
    </w:p>
    <w:p w14:paraId="1E173823">
      <w:pPr>
        <w:pageBreakBefore w:val="0"/>
        <w:wordWrap/>
        <w:topLinePunct w:val="0"/>
        <w:bidi w:val="0"/>
        <w:spacing w:beforeAutospacing="0" w:afterAutospacing="0" w:line="560" w:lineRule="exact"/>
      </w:pPr>
    </w:p>
    <w:p w14:paraId="70BB7894">
      <w:pPr>
        <w:pStyle w:val="3"/>
        <w:pageBreakBefore w:val="0"/>
        <w:wordWrap/>
        <w:topLinePunct w:val="0"/>
        <w:bidi w:val="0"/>
        <w:spacing w:beforeAutospacing="0" w:afterAutospacing="0" w:line="560" w:lineRule="exact"/>
      </w:pPr>
    </w:p>
    <w:p w14:paraId="3EDA59F0">
      <w:pPr>
        <w:pStyle w:val="2"/>
        <w:pageBreakBefore w:val="0"/>
        <w:wordWrap/>
        <w:topLinePunct w:val="0"/>
        <w:bidi w:val="0"/>
        <w:spacing w:beforeAutospacing="0" w:afterAutospacing="0" w:line="560" w:lineRule="exact"/>
      </w:pPr>
    </w:p>
    <w:p w14:paraId="332468A2">
      <w:pPr>
        <w:pageBreakBefore w:val="0"/>
        <w:wordWrap/>
        <w:topLinePunct w:val="0"/>
        <w:bidi w:val="0"/>
        <w:spacing w:beforeAutospacing="0" w:afterAutospacing="0" w:line="560" w:lineRule="exact"/>
      </w:pPr>
    </w:p>
    <w:p w14:paraId="0A9AF1AC">
      <w:pPr>
        <w:pStyle w:val="4"/>
        <w:pageBreakBefore w:val="0"/>
        <w:wordWrap/>
        <w:topLinePunct w:val="0"/>
        <w:bidi w:val="0"/>
        <w:spacing w:beforeAutospacing="0" w:afterAutospacing="0" w:line="560" w:lineRule="exact"/>
        <w:ind w:left="834"/>
      </w:pPr>
    </w:p>
    <w:p w14:paraId="474B90D7">
      <w:pPr>
        <w:pageBreakBefore w:val="0"/>
        <w:wordWrap/>
        <w:topLinePunct w:val="0"/>
        <w:bidi w:val="0"/>
        <w:spacing w:beforeAutospacing="0" w:afterAutospacing="0" w:line="560" w:lineRule="exact"/>
      </w:pPr>
    </w:p>
    <w:p w14:paraId="6E272A61">
      <w:pPr>
        <w:pStyle w:val="3"/>
        <w:pageBreakBefore w:val="0"/>
        <w:wordWrap/>
        <w:topLinePunct w:val="0"/>
        <w:bidi w:val="0"/>
        <w:spacing w:beforeAutospacing="0" w:afterAutospacing="0" w:line="560" w:lineRule="exact"/>
      </w:pPr>
    </w:p>
    <w:p w14:paraId="62AE99CB">
      <w:pPr>
        <w:pStyle w:val="4"/>
        <w:pageBreakBefore w:val="0"/>
        <w:wordWrap/>
        <w:topLinePunct w:val="0"/>
        <w:bidi w:val="0"/>
        <w:spacing w:beforeAutospacing="0" w:afterAutospacing="0" w:line="560" w:lineRule="exact"/>
        <w:ind w:left="834"/>
      </w:pPr>
    </w:p>
    <w:p w14:paraId="07D8992A">
      <w:pPr>
        <w:pageBreakBefore w:val="0"/>
        <w:wordWrap/>
        <w:topLinePunct w:val="0"/>
        <w:bidi w:val="0"/>
        <w:spacing w:beforeAutospacing="0" w:afterAutospacing="0" w:line="560" w:lineRule="exact"/>
      </w:pPr>
    </w:p>
    <w:p w14:paraId="4216CDA6">
      <w:pPr>
        <w:pStyle w:val="6"/>
        <w:pageBreakBefore w:val="0"/>
        <w:kinsoku w:val="0"/>
        <w:wordWrap/>
        <w:overflowPunct w:val="0"/>
        <w:topLinePunct w:val="0"/>
        <w:bidi w:val="0"/>
        <w:spacing w:beforeAutospacing="0" w:afterAutospacing="0" w:line="560" w:lineRule="exact"/>
        <w:ind w:firstLine="834" w:firstLineChars="300"/>
        <w:rPr>
          <w:rFonts w:hint="eastAsia" w:ascii="宋体" w:hAnsi="宋体" w:eastAsia="宋体" w:cs="宋体"/>
          <w:sz w:val="28"/>
          <w:szCs w:val="28"/>
          <w:u w:val="single"/>
        </w:rPr>
      </w:pPr>
      <w:r>
        <w:rPr>
          <w:rFonts w:hint="eastAsia" w:ascii="宋体" w:hAnsi="宋体" w:eastAsia="宋体" w:cs="宋体"/>
          <w:spacing w:val="-1"/>
          <w:sz w:val="28"/>
          <w:szCs w:val="28"/>
        </w:rPr>
        <w:t>采购人（全称）：</w:t>
      </w:r>
      <w:r>
        <w:rPr>
          <w:rFonts w:hint="eastAsia" w:ascii="宋体" w:hAnsi="宋体" w:eastAsia="宋体" w:cs="宋体"/>
          <w:spacing w:val="-1"/>
          <w:sz w:val="28"/>
          <w:szCs w:val="28"/>
          <w:u w:val="single"/>
        </w:rPr>
        <w:t>西安</w:t>
      </w:r>
      <w:r>
        <w:rPr>
          <w:rFonts w:hint="eastAsia" w:ascii="宋体" w:hAnsi="宋体" w:eastAsia="宋体" w:cs="宋体"/>
          <w:spacing w:val="-1"/>
          <w:sz w:val="28"/>
          <w:szCs w:val="28"/>
          <w:u w:val="single"/>
          <w:lang w:eastAsia="zh-CN"/>
        </w:rPr>
        <w:t>市长安区灵沼街道办事处</w:t>
      </w:r>
    </w:p>
    <w:p w14:paraId="60D3F9E6">
      <w:pPr>
        <w:pStyle w:val="6"/>
        <w:pageBreakBefore w:val="0"/>
        <w:kinsoku w:val="0"/>
        <w:wordWrap/>
        <w:overflowPunct w:val="0"/>
        <w:topLinePunct w:val="0"/>
        <w:bidi w:val="0"/>
        <w:spacing w:beforeAutospacing="0" w:afterAutospacing="0" w:line="560" w:lineRule="exact"/>
        <w:ind w:firstLine="834" w:firstLineChars="300"/>
        <w:rPr>
          <w:rFonts w:hint="default" w:ascii="宋体" w:hAnsi="宋体" w:eastAsia="宋体" w:cs="宋体"/>
          <w:spacing w:val="-1"/>
          <w:sz w:val="28"/>
          <w:szCs w:val="28"/>
          <w:u w:val="single"/>
          <w:lang w:val="en-US" w:eastAsia="zh-CN"/>
        </w:rPr>
      </w:pPr>
      <w:r>
        <w:rPr>
          <w:rFonts w:hint="eastAsia" w:ascii="宋体" w:hAnsi="宋体" w:eastAsia="宋体" w:cs="宋体"/>
          <w:spacing w:val="-1"/>
          <w:sz w:val="28"/>
          <w:szCs w:val="28"/>
        </w:rPr>
        <w:t>供应商（全称）：</w:t>
      </w:r>
      <w:r>
        <w:rPr>
          <w:rFonts w:hint="eastAsia" w:ascii="宋体" w:hAnsi="宋体" w:eastAsia="宋体" w:cs="宋体"/>
          <w:spacing w:val="-1"/>
          <w:sz w:val="28"/>
          <w:szCs w:val="28"/>
          <w:u w:val="single"/>
          <w:lang w:val="en-US" w:eastAsia="zh-CN"/>
        </w:rPr>
        <w:t xml:space="preserve">                          </w:t>
      </w:r>
    </w:p>
    <w:p w14:paraId="7165B66A">
      <w:pPr>
        <w:pageBreakBefore w:val="0"/>
        <w:wordWrap/>
        <w:topLinePunct w:val="0"/>
        <w:bidi w:val="0"/>
        <w:spacing w:beforeAutospacing="0" w:afterAutospacing="0" w:line="560" w:lineRule="exact"/>
      </w:pPr>
    </w:p>
    <w:p w14:paraId="0F565D01">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采购人（全称）：</w:t>
      </w:r>
      <w:r>
        <w:rPr>
          <w:rFonts w:hint="eastAsia" w:ascii="仿宋_GB2312" w:hAnsi="仿宋" w:eastAsia="仿宋_GB2312"/>
          <w:sz w:val="24"/>
          <w:lang w:eastAsia="zh-CN"/>
        </w:rPr>
        <w:t>西安市长安区灵沼街道办事处</w:t>
      </w:r>
    </w:p>
    <w:p w14:paraId="3BC1816A">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供应商（全称）：</w:t>
      </w:r>
    </w:p>
    <w:p w14:paraId="59976F04">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一、委托事项</w:t>
      </w:r>
    </w:p>
    <w:p w14:paraId="628EE933">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（一）项目名称：</w:t>
      </w:r>
      <w:r>
        <w:rPr>
          <w:rFonts w:hint="eastAsia" w:ascii="仿宋_GB2312" w:hAnsi="仿宋" w:eastAsia="仿宋_GB2312"/>
          <w:sz w:val="24"/>
          <w:lang w:eastAsia="zh-CN"/>
        </w:rPr>
        <w:t>灵沼街道</w:t>
      </w:r>
      <w:r>
        <w:rPr>
          <w:rFonts w:hint="eastAsia" w:ascii="仿宋_GB2312" w:hAnsi="仿宋" w:eastAsia="仿宋_GB2312"/>
          <w:sz w:val="24"/>
        </w:rPr>
        <w:t>202</w:t>
      </w:r>
      <w:r>
        <w:rPr>
          <w:rFonts w:hint="eastAsia" w:ascii="仿宋_GB2312" w:hAnsi="仿宋" w:eastAsia="仿宋_GB2312"/>
          <w:sz w:val="24"/>
          <w:lang w:val="en-US" w:eastAsia="zh-CN"/>
        </w:rPr>
        <w:t>6</w:t>
      </w:r>
      <w:r>
        <w:rPr>
          <w:rFonts w:hint="eastAsia" w:ascii="仿宋_GB2312" w:hAnsi="仿宋" w:eastAsia="仿宋_GB2312"/>
          <w:sz w:val="24"/>
        </w:rPr>
        <w:t>年农村污水处理设施运维项目。</w:t>
      </w:r>
    </w:p>
    <w:p w14:paraId="07B2D963">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（二）服务地点：采购人指定地点</w:t>
      </w:r>
    </w:p>
    <w:p w14:paraId="4FF9400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（三）服务范围：本次委托运营范围为</w:t>
      </w:r>
      <w:r>
        <w:rPr>
          <w:rFonts w:hint="eastAsia" w:ascii="仿宋_GB2312" w:hAnsi="仿宋" w:eastAsia="仿宋_GB2312"/>
          <w:sz w:val="24"/>
          <w:lang w:val="en-US" w:eastAsia="zh-CN"/>
        </w:rPr>
        <w:t>6</w:t>
      </w:r>
      <w:r>
        <w:rPr>
          <w:rFonts w:hint="eastAsia" w:ascii="仿宋_GB2312" w:hAnsi="仿宋" w:eastAsia="仿宋_GB2312"/>
          <w:sz w:val="24"/>
        </w:rPr>
        <w:t>座污水处理站、</w:t>
      </w:r>
      <w:r>
        <w:rPr>
          <w:rFonts w:hint="eastAsia" w:ascii="仿宋_GB2312" w:hAnsi="仿宋" w:eastAsia="仿宋_GB2312"/>
          <w:color w:val="000000"/>
          <w:sz w:val="24"/>
          <w:lang w:val="en-US" w:eastAsia="zh-CN"/>
        </w:rPr>
        <w:t>6</w:t>
      </w:r>
      <w:r>
        <w:rPr>
          <w:rFonts w:hint="eastAsia" w:ascii="仿宋_GB2312" w:hAnsi="仿宋" w:eastAsia="仿宋_GB2312"/>
          <w:color w:val="000000"/>
          <w:sz w:val="24"/>
        </w:rPr>
        <w:t>座提升泵站、</w:t>
      </w:r>
      <w:r>
        <w:rPr>
          <w:rFonts w:hint="eastAsia" w:ascii="仿宋_GB2312" w:hAnsi="仿宋" w:eastAsia="仿宋_GB2312"/>
          <w:sz w:val="24"/>
          <w:lang w:val="en-US" w:eastAsia="zh-CN"/>
        </w:rPr>
        <w:t>77.706</w:t>
      </w:r>
      <w:r>
        <w:rPr>
          <w:rFonts w:hint="eastAsia" w:ascii="仿宋_GB2312" w:hAnsi="仿宋" w:eastAsia="仿宋_GB2312"/>
          <w:sz w:val="24"/>
        </w:rPr>
        <w:t>公里配套污水收集管网及其他附属设施。（以下</w:t>
      </w:r>
      <w:r>
        <w:rPr>
          <w:rFonts w:ascii="仿宋_GB2312" w:hAnsi="仿宋" w:eastAsia="仿宋_GB2312"/>
          <w:sz w:val="24"/>
        </w:rPr>
        <w:t>简称污水处理</w:t>
      </w:r>
      <w:r>
        <w:rPr>
          <w:rFonts w:hint="eastAsia" w:ascii="仿宋_GB2312" w:hAnsi="仿宋" w:eastAsia="仿宋_GB2312"/>
          <w:sz w:val="24"/>
        </w:rPr>
        <w:t>配套设施）。</w:t>
      </w:r>
    </w:p>
    <w:p w14:paraId="24B95183">
      <w:pPr>
        <w:pStyle w:val="3"/>
        <w:pageBreakBefore w:val="0"/>
        <w:wordWrap/>
        <w:topLinePunct w:val="0"/>
        <w:bidi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（四）服务期限：服务期为自</w:t>
      </w:r>
      <w:r>
        <w:rPr>
          <w:rFonts w:hint="eastAsia" w:ascii="微软雅黑" w:hAnsi="微软雅黑" w:eastAsia="微软雅黑" w:cs="微软雅黑"/>
          <w:u w:val="single"/>
        </w:rPr>
        <w:t>自乙方正式入场服务之日起365日，入场服务时间以甲方通知为准</w:t>
      </w:r>
      <w:r>
        <w:rPr>
          <w:rFonts w:hint="eastAsia" w:ascii="仿宋_GB2312" w:hAnsi="仿宋" w:eastAsia="仿宋_GB2312"/>
          <w:sz w:val="24"/>
        </w:rPr>
        <w:t>。</w:t>
      </w:r>
    </w:p>
    <w:p w14:paraId="1827B39F">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二、委托</w:t>
      </w:r>
      <w:r>
        <w:rPr>
          <w:rFonts w:ascii="黑体" w:hAnsi="黑体" w:eastAsia="黑体"/>
          <w:sz w:val="24"/>
        </w:rPr>
        <w:t>内容</w:t>
      </w:r>
    </w:p>
    <w:p w14:paraId="57D7D043">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采购人愿意委托，供应商自愿接受，协议由供应商在合同期限内，按照双方议定的合同目标，在收取一定费用的前提下全面负责污水处理</w:t>
      </w:r>
      <w:r>
        <w:rPr>
          <w:rFonts w:ascii="仿宋_GB2312" w:hAnsi="仿宋" w:eastAsia="仿宋_GB2312"/>
          <w:sz w:val="24"/>
        </w:rPr>
        <w:t>系统</w:t>
      </w:r>
      <w:r>
        <w:rPr>
          <w:rFonts w:hint="eastAsia" w:ascii="仿宋_GB2312" w:hAnsi="仿宋" w:eastAsia="仿宋_GB2312"/>
          <w:sz w:val="24"/>
        </w:rPr>
        <w:t>的运行管理工作。其中的具体内容如下:</w:t>
      </w:r>
    </w:p>
    <w:p w14:paraId="1A47522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1.</w:t>
      </w:r>
      <w:r>
        <w:rPr>
          <w:rFonts w:hint="eastAsia" w:ascii="仿宋_GB2312" w:hAnsi="仿宋" w:eastAsia="仿宋_GB2312"/>
          <w:sz w:val="24"/>
          <w:lang w:val="en-US" w:eastAsia="zh-CN"/>
        </w:rPr>
        <w:t>6坐</w:t>
      </w:r>
      <w:r>
        <w:rPr>
          <w:rFonts w:ascii="仿宋_GB2312" w:hAnsi="仿宋" w:eastAsia="仿宋_GB2312"/>
          <w:sz w:val="24"/>
        </w:rPr>
        <w:t>维污水处理设施，</w:t>
      </w:r>
      <w:r>
        <w:rPr>
          <w:rFonts w:hint="eastAsia" w:ascii="仿宋_GB2312" w:hAnsi="仿宋" w:eastAsia="仿宋_GB2312"/>
          <w:sz w:val="24"/>
          <w:lang w:val="en-US" w:eastAsia="zh-CN"/>
        </w:rPr>
        <w:t>6</w:t>
      </w:r>
      <w:r>
        <w:rPr>
          <w:rFonts w:ascii="仿宋_GB2312" w:hAnsi="仿宋" w:eastAsia="仿宋_GB2312"/>
          <w:sz w:val="24"/>
        </w:rPr>
        <w:t>座提升泵站</w:t>
      </w:r>
      <w:r>
        <w:rPr>
          <w:rFonts w:hint="eastAsia" w:ascii="仿宋_GB2312" w:hAnsi="仿宋" w:eastAsia="仿宋_GB2312"/>
          <w:sz w:val="24"/>
          <w:lang w:eastAsia="zh-CN"/>
        </w:rPr>
        <w:t>以及</w:t>
      </w:r>
      <w:r>
        <w:rPr>
          <w:rFonts w:ascii="仿宋_GB2312" w:hAnsi="仿宋" w:eastAsia="仿宋_GB2312"/>
          <w:sz w:val="24"/>
        </w:rPr>
        <w:t>收水管网和其他附属设施自合同签订之日起接收运维，所有设施</w:t>
      </w:r>
      <w:r>
        <w:rPr>
          <w:rFonts w:hint="eastAsia" w:ascii="仿宋_GB2312" w:hAnsi="仿宋" w:eastAsia="仿宋_GB2312"/>
          <w:sz w:val="24"/>
        </w:rPr>
        <w:t>运维调试工期</w:t>
      </w:r>
      <w:r>
        <w:rPr>
          <w:rFonts w:ascii="仿宋_GB2312" w:hAnsi="仿宋" w:eastAsia="仿宋_GB2312"/>
          <w:sz w:val="24"/>
        </w:rPr>
        <w:t>自接收之日起算</w:t>
      </w:r>
      <w:r>
        <w:rPr>
          <w:rFonts w:hint="eastAsia" w:ascii="仿宋_GB2312" w:hAnsi="仿宋" w:eastAsia="仿宋_GB2312"/>
          <w:sz w:val="24"/>
        </w:rPr>
        <w:t>不得超过60日。</w:t>
      </w:r>
    </w:p>
    <w:p w14:paraId="21ED3AAC">
      <w:pPr>
        <w:pStyle w:val="6"/>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w:t>
      </w:r>
      <w:r>
        <w:rPr>
          <w:rFonts w:ascii="仿宋_GB2312" w:hAnsi="仿宋" w:eastAsia="仿宋_GB2312"/>
          <w:sz w:val="24"/>
        </w:rPr>
        <w:t>.污水处理站运维要求。</w:t>
      </w:r>
      <w:r>
        <w:rPr>
          <w:rFonts w:hint="eastAsia" w:ascii="仿宋_GB2312" w:hAnsi="仿宋" w:eastAsia="仿宋_GB2312"/>
          <w:sz w:val="24"/>
          <w:lang w:val="en-US" w:eastAsia="zh-CN"/>
        </w:rPr>
        <w:t>6</w:t>
      </w:r>
      <w:r>
        <w:rPr>
          <w:rFonts w:ascii="仿宋_GB2312" w:hAnsi="仿宋" w:eastAsia="仿宋_GB2312"/>
          <w:sz w:val="24"/>
        </w:rPr>
        <w:t>座污水站运维期间实际日处理能力不得低于设计日处理能力，出水水质符合标准，其中表1污水处理设施处理后出水水质达到陕西省地方标准《农村生活污水处理设施水污染物排放标准》（DB61/1227-2018），表</w:t>
      </w:r>
      <w:r>
        <w:rPr>
          <w:rFonts w:hint="eastAsia" w:ascii="仿宋_GB2312" w:hAnsi="仿宋" w:eastAsia="仿宋_GB2312"/>
          <w:sz w:val="24"/>
        </w:rPr>
        <w:t>2</w:t>
      </w:r>
      <w:r>
        <w:rPr>
          <w:rFonts w:ascii="仿宋_GB2312" w:hAnsi="仿宋" w:eastAsia="仿宋_GB2312"/>
          <w:sz w:val="24"/>
        </w:rPr>
        <w:t>中污水处理设施处理后出水水质达到《陕西省黄河流域污水综合排放标准》(DB61/224-2018)中B标准，各污水处理站具体出水排放标准详见下表。</w:t>
      </w:r>
    </w:p>
    <w:p w14:paraId="6C25EB26">
      <w:pPr>
        <w:pageBreakBefore w:val="0"/>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表1污水处理站统计表（一）</w:t>
      </w:r>
    </w:p>
    <w:tbl>
      <w:tblPr>
        <w:tblStyle w:val="13"/>
        <w:tblW w:w="8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2614"/>
        <w:gridCol w:w="3567"/>
        <w:gridCol w:w="1393"/>
      </w:tblGrid>
      <w:tr w14:paraId="0A857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vAlign w:val="center"/>
          </w:tcPr>
          <w:p w14:paraId="4F08B202">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序号</w:t>
            </w:r>
          </w:p>
        </w:tc>
        <w:tc>
          <w:tcPr>
            <w:tcW w:w="2614" w:type="dxa"/>
            <w:shd w:val="clear" w:color="auto" w:fill="auto"/>
            <w:noWrap/>
            <w:vAlign w:val="center"/>
          </w:tcPr>
          <w:p w14:paraId="2D9CBA76">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名称</w:t>
            </w:r>
          </w:p>
        </w:tc>
        <w:tc>
          <w:tcPr>
            <w:tcW w:w="3567" w:type="dxa"/>
            <w:shd w:val="clear" w:color="auto" w:fill="auto"/>
            <w:noWrap/>
            <w:vAlign w:val="center"/>
          </w:tcPr>
          <w:p w14:paraId="653E168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设计规模</w:t>
            </w:r>
          </w:p>
        </w:tc>
        <w:tc>
          <w:tcPr>
            <w:tcW w:w="1393" w:type="dxa"/>
            <w:vAlign w:val="center"/>
          </w:tcPr>
          <w:p w14:paraId="75A5B5EF">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排放标准</w:t>
            </w:r>
          </w:p>
        </w:tc>
      </w:tr>
      <w:tr w14:paraId="4F88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61853E71">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1</w:t>
            </w:r>
          </w:p>
        </w:tc>
        <w:tc>
          <w:tcPr>
            <w:tcW w:w="2614" w:type="dxa"/>
            <w:shd w:val="clear" w:color="auto" w:fill="auto"/>
            <w:noWrap/>
            <w:vAlign w:val="center"/>
          </w:tcPr>
          <w:p w14:paraId="655CF619">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苗驾庄村污水处理站1</w:t>
            </w:r>
          </w:p>
        </w:tc>
        <w:tc>
          <w:tcPr>
            <w:tcW w:w="3567" w:type="dxa"/>
            <w:shd w:val="clear" w:color="auto" w:fill="auto"/>
            <w:noWrap/>
            <w:vAlign w:val="center"/>
          </w:tcPr>
          <w:p w14:paraId="4A8D620F">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100立方米/日</w:t>
            </w:r>
          </w:p>
        </w:tc>
        <w:tc>
          <w:tcPr>
            <w:tcW w:w="1393" w:type="dxa"/>
            <w:shd w:val="clear" w:color="auto" w:fill="auto"/>
            <w:vAlign w:val="center"/>
          </w:tcPr>
          <w:p w14:paraId="1068967D">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二级标准</w:t>
            </w:r>
          </w:p>
        </w:tc>
      </w:tr>
      <w:tr w14:paraId="7BD8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7216BA7C">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2</w:t>
            </w:r>
          </w:p>
        </w:tc>
        <w:tc>
          <w:tcPr>
            <w:tcW w:w="2614" w:type="dxa"/>
            <w:shd w:val="clear" w:color="auto" w:fill="auto"/>
            <w:noWrap/>
            <w:vAlign w:val="center"/>
          </w:tcPr>
          <w:p w14:paraId="59F7D61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苗驾庄村污水处理站2</w:t>
            </w:r>
          </w:p>
        </w:tc>
        <w:tc>
          <w:tcPr>
            <w:tcW w:w="3567" w:type="dxa"/>
            <w:shd w:val="clear" w:color="auto" w:fill="auto"/>
            <w:noWrap/>
            <w:vAlign w:val="center"/>
          </w:tcPr>
          <w:p w14:paraId="044629C5">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200立方米/日</w:t>
            </w:r>
          </w:p>
        </w:tc>
        <w:tc>
          <w:tcPr>
            <w:tcW w:w="1393" w:type="dxa"/>
            <w:shd w:val="clear" w:color="auto" w:fill="auto"/>
            <w:vAlign w:val="center"/>
          </w:tcPr>
          <w:p w14:paraId="56F3F070">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二级标准</w:t>
            </w:r>
          </w:p>
        </w:tc>
      </w:tr>
      <w:tr w14:paraId="070A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2A441003">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3</w:t>
            </w:r>
          </w:p>
        </w:tc>
        <w:tc>
          <w:tcPr>
            <w:tcW w:w="2614" w:type="dxa"/>
            <w:shd w:val="clear" w:color="auto" w:fill="auto"/>
            <w:noWrap/>
            <w:vAlign w:val="center"/>
          </w:tcPr>
          <w:p w14:paraId="662E522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冯村污水处理站</w:t>
            </w:r>
          </w:p>
        </w:tc>
        <w:tc>
          <w:tcPr>
            <w:tcW w:w="3567" w:type="dxa"/>
            <w:shd w:val="clear" w:color="auto" w:fill="auto"/>
            <w:noWrap/>
            <w:vAlign w:val="center"/>
          </w:tcPr>
          <w:p w14:paraId="1C12F68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350立方米/日</w:t>
            </w:r>
          </w:p>
        </w:tc>
        <w:tc>
          <w:tcPr>
            <w:tcW w:w="1393" w:type="dxa"/>
            <w:shd w:val="clear" w:color="auto" w:fill="auto"/>
            <w:vAlign w:val="center"/>
          </w:tcPr>
          <w:p w14:paraId="7B346A4C">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二级标准</w:t>
            </w:r>
          </w:p>
        </w:tc>
      </w:tr>
      <w:tr w14:paraId="1DF0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2A3CF370">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4</w:t>
            </w:r>
          </w:p>
        </w:tc>
        <w:tc>
          <w:tcPr>
            <w:tcW w:w="2614" w:type="dxa"/>
            <w:shd w:val="clear" w:color="auto" w:fill="auto"/>
            <w:noWrap/>
            <w:vAlign w:val="center"/>
          </w:tcPr>
          <w:p w14:paraId="5D1ED02B">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石榴村污水处理站</w:t>
            </w:r>
          </w:p>
        </w:tc>
        <w:tc>
          <w:tcPr>
            <w:tcW w:w="3567" w:type="dxa"/>
            <w:shd w:val="clear" w:color="auto" w:fill="auto"/>
            <w:noWrap/>
            <w:vAlign w:val="center"/>
          </w:tcPr>
          <w:p w14:paraId="39FED29D">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250立方米/日</w:t>
            </w:r>
          </w:p>
        </w:tc>
        <w:tc>
          <w:tcPr>
            <w:tcW w:w="1393" w:type="dxa"/>
            <w:shd w:val="clear" w:color="auto" w:fill="auto"/>
            <w:vAlign w:val="center"/>
          </w:tcPr>
          <w:p w14:paraId="5EE2B1AC">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二级标准</w:t>
            </w:r>
          </w:p>
        </w:tc>
      </w:tr>
      <w:tr w14:paraId="4D9F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6F2C9BAA">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5</w:t>
            </w:r>
          </w:p>
        </w:tc>
        <w:tc>
          <w:tcPr>
            <w:tcW w:w="2614" w:type="dxa"/>
            <w:shd w:val="clear" w:color="auto" w:fill="auto"/>
            <w:noWrap/>
            <w:vAlign w:val="center"/>
          </w:tcPr>
          <w:p w14:paraId="4A42157A">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海子村污水处理站</w:t>
            </w:r>
          </w:p>
        </w:tc>
        <w:tc>
          <w:tcPr>
            <w:tcW w:w="3567" w:type="dxa"/>
            <w:shd w:val="clear" w:color="auto" w:fill="auto"/>
            <w:noWrap/>
            <w:vAlign w:val="center"/>
          </w:tcPr>
          <w:p w14:paraId="150B0B7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300立方米/日</w:t>
            </w:r>
          </w:p>
        </w:tc>
        <w:tc>
          <w:tcPr>
            <w:tcW w:w="1393" w:type="dxa"/>
            <w:shd w:val="clear" w:color="auto" w:fill="auto"/>
            <w:vAlign w:val="center"/>
          </w:tcPr>
          <w:p w14:paraId="48177D9A">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二级标准</w:t>
            </w:r>
          </w:p>
        </w:tc>
      </w:tr>
      <w:tr w14:paraId="2C49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3B9A4A4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总计</w:t>
            </w:r>
          </w:p>
        </w:tc>
        <w:tc>
          <w:tcPr>
            <w:tcW w:w="7574" w:type="dxa"/>
            <w:gridSpan w:val="3"/>
            <w:shd w:val="clear" w:color="auto" w:fill="auto"/>
            <w:noWrap/>
            <w:vAlign w:val="center"/>
          </w:tcPr>
          <w:p w14:paraId="7F9001D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hint="eastAsia" w:ascii="仿宋_GB2312" w:hAnsi="仿宋" w:eastAsia="仿宋_GB2312"/>
                <w:sz w:val="24"/>
                <w:lang w:val="en-US" w:eastAsia="zh-CN"/>
              </w:rPr>
              <w:t>5</w:t>
            </w:r>
            <w:r>
              <w:rPr>
                <w:rFonts w:ascii="仿宋_GB2312" w:hAnsi="仿宋" w:eastAsia="仿宋_GB2312"/>
                <w:sz w:val="24"/>
              </w:rPr>
              <w:t>座污水处理站，设计处理能力</w:t>
            </w:r>
            <w:r>
              <w:rPr>
                <w:rFonts w:hint="eastAsia" w:ascii="仿宋_GB2312" w:hAnsi="仿宋" w:eastAsia="仿宋_GB2312"/>
                <w:sz w:val="24"/>
                <w:lang w:val="en-US" w:eastAsia="zh-CN"/>
              </w:rPr>
              <w:t>1200</w:t>
            </w:r>
            <w:r>
              <w:rPr>
                <w:rFonts w:ascii="仿宋_GB2312" w:hAnsi="仿宋" w:eastAsia="仿宋_GB2312"/>
                <w:sz w:val="24"/>
              </w:rPr>
              <w:t xml:space="preserve">立方米/日  </w:t>
            </w:r>
          </w:p>
        </w:tc>
      </w:tr>
    </w:tbl>
    <w:p w14:paraId="44FC136C">
      <w:pPr>
        <w:pageBreakBefore w:val="0"/>
        <w:wordWrap/>
        <w:topLinePunct w:val="0"/>
        <w:bidi w:val="0"/>
        <w:spacing w:beforeAutospacing="0" w:afterAutospacing="0" w:line="560" w:lineRule="exact"/>
        <w:jc w:val="center"/>
        <w:rPr>
          <w:rFonts w:hint="eastAsia" w:ascii="仿宋_GB2312" w:hAnsi="仿宋" w:eastAsia="仿宋_GB2312"/>
          <w:sz w:val="24"/>
        </w:rPr>
      </w:pPr>
    </w:p>
    <w:p w14:paraId="273D08CC">
      <w:pPr>
        <w:pageBreakBefore w:val="0"/>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表</w:t>
      </w:r>
      <w:r>
        <w:rPr>
          <w:rFonts w:hint="eastAsia" w:ascii="仿宋_GB2312" w:hAnsi="仿宋" w:eastAsia="仿宋_GB2312"/>
          <w:sz w:val="24"/>
        </w:rPr>
        <w:t>2</w:t>
      </w:r>
      <w:r>
        <w:rPr>
          <w:rFonts w:ascii="仿宋_GB2312" w:hAnsi="仿宋" w:eastAsia="仿宋_GB2312"/>
          <w:sz w:val="24"/>
        </w:rPr>
        <w:t xml:space="preserve"> 污水处理站统计表（二）</w:t>
      </w:r>
    </w:p>
    <w:tbl>
      <w:tblPr>
        <w:tblStyle w:val="13"/>
        <w:tblW w:w="82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2614"/>
        <w:gridCol w:w="3567"/>
        <w:gridCol w:w="1393"/>
      </w:tblGrid>
      <w:tr w14:paraId="07AC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vAlign w:val="center"/>
          </w:tcPr>
          <w:p w14:paraId="19720E03">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序号</w:t>
            </w:r>
          </w:p>
        </w:tc>
        <w:tc>
          <w:tcPr>
            <w:tcW w:w="2614" w:type="dxa"/>
            <w:shd w:val="clear" w:color="auto" w:fill="auto"/>
            <w:noWrap/>
            <w:vAlign w:val="center"/>
          </w:tcPr>
          <w:p w14:paraId="485C70E2">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名称</w:t>
            </w:r>
          </w:p>
        </w:tc>
        <w:tc>
          <w:tcPr>
            <w:tcW w:w="3567" w:type="dxa"/>
            <w:shd w:val="clear" w:color="auto" w:fill="auto"/>
            <w:noWrap/>
            <w:vAlign w:val="center"/>
          </w:tcPr>
          <w:p w14:paraId="718314D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设计规模</w:t>
            </w:r>
          </w:p>
        </w:tc>
        <w:tc>
          <w:tcPr>
            <w:tcW w:w="1393" w:type="dxa"/>
            <w:vAlign w:val="center"/>
          </w:tcPr>
          <w:p w14:paraId="55FF5A0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排放标准</w:t>
            </w:r>
          </w:p>
        </w:tc>
      </w:tr>
      <w:tr w14:paraId="1A31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6FA69932">
            <w:pPr>
              <w:pageBreakBefore w:val="0"/>
              <w:widowControl/>
              <w:wordWrap/>
              <w:topLinePunct w:val="0"/>
              <w:bidi w:val="0"/>
              <w:spacing w:beforeAutospacing="0" w:afterAutospacing="0" w:line="560" w:lineRule="exact"/>
              <w:jc w:val="center"/>
              <w:rPr>
                <w:rFonts w:hint="eastAsia" w:ascii="仿宋_GB2312" w:hAnsi="仿宋" w:eastAsia="仿宋_GB2312"/>
                <w:sz w:val="24"/>
                <w:lang w:eastAsia="zh-CN"/>
              </w:rPr>
            </w:pPr>
            <w:r>
              <w:rPr>
                <w:rFonts w:hint="eastAsia" w:ascii="仿宋_GB2312" w:hAnsi="仿宋" w:eastAsia="仿宋_GB2312"/>
                <w:sz w:val="24"/>
                <w:lang w:val="en-US" w:eastAsia="zh-CN"/>
              </w:rPr>
              <w:t>1</w:t>
            </w:r>
          </w:p>
        </w:tc>
        <w:tc>
          <w:tcPr>
            <w:tcW w:w="2614" w:type="dxa"/>
            <w:shd w:val="clear" w:color="auto" w:fill="auto"/>
            <w:noWrap/>
            <w:vAlign w:val="center"/>
          </w:tcPr>
          <w:p w14:paraId="4BE8831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灵沼村污水处理站</w:t>
            </w:r>
          </w:p>
        </w:tc>
        <w:tc>
          <w:tcPr>
            <w:tcW w:w="3567" w:type="dxa"/>
            <w:shd w:val="clear" w:color="auto" w:fill="auto"/>
            <w:noWrap/>
            <w:vAlign w:val="center"/>
          </w:tcPr>
          <w:p w14:paraId="71633179">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1000立方米/日</w:t>
            </w:r>
          </w:p>
        </w:tc>
        <w:tc>
          <w:tcPr>
            <w:tcW w:w="1393" w:type="dxa"/>
            <w:shd w:val="clear" w:color="auto" w:fill="auto"/>
            <w:vAlign w:val="center"/>
          </w:tcPr>
          <w:p w14:paraId="3F7CCB8A">
            <w:pPr>
              <w:pageBreakBefore w:val="0"/>
              <w:widowControl/>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B标准</w:t>
            </w:r>
          </w:p>
        </w:tc>
      </w:tr>
      <w:tr w14:paraId="4E63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89" w:type="dxa"/>
            <w:shd w:val="clear" w:color="auto" w:fill="auto"/>
            <w:noWrap/>
          </w:tcPr>
          <w:p w14:paraId="5B70AE8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总计</w:t>
            </w:r>
          </w:p>
        </w:tc>
        <w:tc>
          <w:tcPr>
            <w:tcW w:w="7574" w:type="dxa"/>
            <w:gridSpan w:val="3"/>
            <w:shd w:val="clear" w:color="auto" w:fill="auto"/>
            <w:noWrap/>
            <w:vAlign w:val="center"/>
          </w:tcPr>
          <w:p w14:paraId="2B5B51B2">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hint="eastAsia" w:ascii="仿宋_GB2312" w:hAnsi="仿宋" w:eastAsia="仿宋_GB2312"/>
                <w:sz w:val="24"/>
                <w:lang w:val="en-US" w:eastAsia="zh-CN"/>
              </w:rPr>
              <w:t>1</w:t>
            </w:r>
            <w:r>
              <w:rPr>
                <w:rFonts w:ascii="仿宋_GB2312" w:hAnsi="仿宋" w:eastAsia="仿宋_GB2312"/>
                <w:sz w:val="24"/>
              </w:rPr>
              <w:t>座污水处理站，设计处理能力1</w:t>
            </w:r>
            <w:r>
              <w:rPr>
                <w:rFonts w:hint="eastAsia" w:ascii="仿宋_GB2312" w:hAnsi="仿宋" w:eastAsia="仿宋_GB2312"/>
                <w:sz w:val="24"/>
                <w:lang w:val="en-US" w:eastAsia="zh-CN"/>
              </w:rPr>
              <w:t>0</w:t>
            </w:r>
            <w:r>
              <w:rPr>
                <w:rFonts w:ascii="仿宋_GB2312" w:hAnsi="仿宋" w:eastAsia="仿宋_GB2312"/>
                <w:sz w:val="24"/>
              </w:rPr>
              <w:t xml:space="preserve">00立方米/日  </w:t>
            </w:r>
          </w:p>
        </w:tc>
      </w:tr>
    </w:tbl>
    <w:p w14:paraId="64BC6BA5">
      <w:pPr>
        <w:pStyle w:val="6"/>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2.污水收集系统和其他附属设施运维要求。</w:t>
      </w:r>
    </w:p>
    <w:p w14:paraId="14E96EF5">
      <w:pPr>
        <w:pStyle w:val="6"/>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2.1提升泵站运维要求。负责</w:t>
      </w:r>
      <w:r>
        <w:rPr>
          <w:rFonts w:hint="eastAsia" w:ascii="仿宋_GB2312" w:hAnsi="仿宋" w:eastAsia="仿宋_GB2312"/>
          <w:sz w:val="24"/>
          <w:lang w:val="en-US" w:eastAsia="zh-CN"/>
        </w:rPr>
        <w:t>6</w:t>
      </w:r>
      <w:r>
        <w:rPr>
          <w:rFonts w:ascii="仿宋_GB2312" w:hAnsi="仿宋" w:eastAsia="仿宋_GB2312"/>
          <w:sz w:val="24"/>
        </w:rPr>
        <w:t>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14:paraId="1A7B5E57">
      <w:pPr>
        <w:pageBreakBefore w:val="0"/>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表</w:t>
      </w:r>
      <w:r>
        <w:rPr>
          <w:rFonts w:hint="eastAsia" w:ascii="仿宋_GB2312" w:hAnsi="仿宋" w:eastAsia="仿宋_GB2312"/>
          <w:sz w:val="24"/>
        </w:rPr>
        <w:t>3</w:t>
      </w:r>
      <w:r>
        <w:rPr>
          <w:rFonts w:ascii="仿宋_GB2312" w:hAnsi="仿宋" w:eastAsia="仿宋_GB2312"/>
          <w:sz w:val="24"/>
        </w:rPr>
        <w:t>污水提升泵站统计表</w:t>
      </w:r>
    </w:p>
    <w:tbl>
      <w:tblPr>
        <w:tblStyle w:val="13"/>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992"/>
        <w:gridCol w:w="3463"/>
        <w:gridCol w:w="2025"/>
      </w:tblGrid>
      <w:tr w14:paraId="1C7F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1" w:type="dxa"/>
            <w:shd w:val="clear" w:color="auto" w:fill="auto"/>
            <w:noWrap/>
            <w:vAlign w:val="center"/>
          </w:tcPr>
          <w:p w14:paraId="42D4AAC1">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序号</w:t>
            </w:r>
          </w:p>
        </w:tc>
        <w:tc>
          <w:tcPr>
            <w:tcW w:w="1992" w:type="dxa"/>
            <w:shd w:val="clear" w:color="auto" w:fill="auto"/>
            <w:noWrap/>
            <w:vAlign w:val="center"/>
          </w:tcPr>
          <w:p w14:paraId="003970AF">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名称</w:t>
            </w:r>
          </w:p>
        </w:tc>
        <w:tc>
          <w:tcPr>
            <w:tcW w:w="3463" w:type="dxa"/>
            <w:vAlign w:val="center"/>
          </w:tcPr>
          <w:p w14:paraId="4B9052C1">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设计规模</w:t>
            </w:r>
          </w:p>
        </w:tc>
        <w:tc>
          <w:tcPr>
            <w:tcW w:w="2025" w:type="dxa"/>
            <w:shd w:val="clear" w:color="auto" w:fill="auto"/>
            <w:noWrap/>
            <w:vAlign w:val="center"/>
          </w:tcPr>
          <w:p w14:paraId="0CE10146">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数量</w:t>
            </w:r>
          </w:p>
        </w:tc>
      </w:tr>
      <w:tr w14:paraId="235D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1" w:type="dxa"/>
            <w:shd w:val="clear" w:color="auto" w:fill="auto"/>
            <w:noWrap/>
            <w:vAlign w:val="center"/>
          </w:tcPr>
          <w:p w14:paraId="20781E3A">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1</w:t>
            </w:r>
          </w:p>
        </w:tc>
        <w:tc>
          <w:tcPr>
            <w:tcW w:w="1992" w:type="dxa"/>
            <w:shd w:val="clear" w:color="auto" w:fill="auto"/>
            <w:noWrap/>
            <w:vAlign w:val="center"/>
          </w:tcPr>
          <w:p w14:paraId="3308E4CB">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一体化提升泵站</w:t>
            </w:r>
          </w:p>
        </w:tc>
        <w:tc>
          <w:tcPr>
            <w:tcW w:w="3463" w:type="dxa"/>
            <w:vAlign w:val="center"/>
          </w:tcPr>
          <w:p w14:paraId="34AF9997">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总规模</w:t>
            </w:r>
            <w:r>
              <w:rPr>
                <w:rFonts w:hint="eastAsia" w:ascii="仿宋_GB2312" w:hAnsi="仿宋" w:eastAsia="仿宋_GB2312"/>
                <w:sz w:val="24"/>
                <w:lang w:val="en-US" w:eastAsia="zh-CN"/>
              </w:rPr>
              <w:t>19</w:t>
            </w:r>
            <w:r>
              <w:rPr>
                <w:rFonts w:ascii="仿宋_GB2312" w:hAnsi="仿宋" w:eastAsia="仿宋_GB2312"/>
                <w:sz w:val="24"/>
              </w:rPr>
              <w:t>0m³/h。</w:t>
            </w:r>
          </w:p>
        </w:tc>
        <w:tc>
          <w:tcPr>
            <w:tcW w:w="2025" w:type="dxa"/>
            <w:shd w:val="clear" w:color="auto" w:fill="auto"/>
            <w:noWrap/>
            <w:vAlign w:val="center"/>
          </w:tcPr>
          <w:p w14:paraId="1B29230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hint="eastAsia" w:ascii="仿宋_GB2312" w:hAnsi="仿宋" w:eastAsia="仿宋_GB2312"/>
                <w:sz w:val="24"/>
                <w:lang w:val="en-US" w:eastAsia="zh-CN"/>
              </w:rPr>
              <w:t>6</w:t>
            </w:r>
            <w:r>
              <w:rPr>
                <w:rFonts w:ascii="仿宋_GB2312" w:hAnsi="仿宋" w:eastAsia="仿宋_GB2312"/>
                <w:sz w:val="24"/>
              </w:rPr>
              <w:t>座</w:t>
            </w:r>
          </w:p>
        </w:tc>
      </w:tr>
    </w:tbl>
    <w:p w14:paraId="59FE3C6B">
      <w:pPr>
        <w:pStyle w:val="6"/>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2.2污水收集管网运维要求。负责重力流污水收水管网日常巡查和维护维修，主要包括污水收集管网日常巡检、疏通、管道破损维修、其他安全设施检查等，保证污水收集管网畅通，无堵塞、漏水现象。</w:t>
      </w:r>
    </w:p>
    <w:p w14:paraId="4028D1F1">
      <w:pPr>
        <w:pStyle w:val="6"/>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14:paraId="45726210">
      <w:pPr>
        <w:pageBreakBefore w:val="0"/>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表</w:t>
      </w:r>
      <w:r>
        <w:rPr>
          <w:rFonts w:hint="eastAsia" w:ascii="仿宋_GB2312" w:hAnsi="仿宋" w:eastAsia="仿宋_GB2312"/>
          <w:sz w:val="24"/>
        </w:rPr>
        <w:t>4</w:t>
      </w:r>
      <w:r>
        <w:rPr>
          <w:rFonts w:ascii="仿宋_GB2312" w:hAnsi="仿宋" w:eastAsia="仿宋_GB2312"/>
          <w:sz w:val="24"/>
        </w:rPr>
        <w:t xml:space="preserve"> 收水管网统及其他附属设施统计表</w:t>
      </w:r>
    </w:p>
    <w:tbl>
      <w:tblPr>
        <w:tblStyle w:val="13"/>
        <w:tblW w:w="82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738"/>
        <w:gridCol w:w="3717"/>
        <w:gridCol w:w="2025"/>
      </w:tblGrid>
      <w:tr w14:paraId="7F57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1" w:type="dxa"/>
            <w:shd w:val="clear" w:color="auto" w:fill="auto"/>
            <w:noWrap/>
            <w:vAlign w:val="center"/>
          </w:tcPr>
          <w:p w14:paraId="5DEA992D">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序号</w:t>
            </w:r>
          </w:p>
        </w:tc>
        <w:tc>
          <w:tcPr>
            <w:tcW w:w="1738" w:type="dxa"/>
            <w:shd w:val="clear" w:color="auto" w:fill="auto"/>
            <w:noWrap/>
            <w:vAlign w:val="center"/>
          </w:tcPr>
          <w:p w14:paraId="2F73FA74">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名称</w:t>
            </w:r>
          </w:p>
        </w:tc>
        <w:tc>
          <w:tcPr>
            <w:tcW w:w="3717" w:type="dxa"/>
            <w:vAlign w:val="center"/>
          </w:tcPr>
          <w:p w14:paraId="0037B6AA">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设计规模</w:t>
            </w:r>
          </w:p>
        </w:tc>
        <w:tc>
          <w:tcPr>
            <w:tcW w:w="2025" w:type="dxa"/>
            <w:shd w:val="clear" w:color="auto" w:fill="auto"/>
            <w:noWrap/>
            <w:vAlign w:val="center"/>
          </w:tcPr>
          <w:p w14:paraId="2DD900B7">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数量</w:t>
            </w:r>
          </w:p>
        </w:tc>
      </w:tr>
      <w:tr w14:paraId="4C88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1" w:type="dxa"/>
            <w:shd w:val="clear" w:color="auto" w:fill="auto"/>
            <w:noWrap/>
            <w:vAlign w:val="center"/>
          </w:tcPr>
          <w:p w14:paraId="494B29C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1</w:t>
            </w:r>
          </w:p>
        </w:tc>
        <w:tc>
          <w:tcPr>
            <w:tcW w:w="1738" w:type="dxa"/>
            <w:shd w:val="clear" w:color="auto" w:fill="auto"/>
            <w:vAlign w:val="center"/>
          </w:tcPr>
          <w:p w14:paraId="40A2B9A7">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收水管网</w:t>
            </w:r>
          </w:p>
        </w:tc>
        <w:tc>
          <w:tcPr>
            <w:tcW w:w="3717" w:type="dxa"/>
            <w:vAlign w:val="center"/>
          </w:tcPr>
          <w:p w14:paraId="7C00A180">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管径DN1000、DN500、DN300、DN200</w:t>
            </w:r>
          </w:p>
        </w:tc>
        <w:tc>
          <w:tcPr>
            <w:tcW w:w="2025" w:type="dxa"/>
            <w:shd w:val="clear" w:color="auto" w:fill="auto"/>
            <w:noWrap/>
            <w:vAlign w:val="center"/>
          </w:tcPr>
          <w:p w14:paraId="18E7DDC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hint="eastAsia" w:ascii="仿宋_GB2312" w:hAnsi="仿宋" w:eastAsia="仿宋_GB2312"/>
                <w:sz w:val="24"/>
                <w:lang w:val="en-US" w:eastAsia="zh-CN"/>
              </w:rPr>
              <w:t>77.706</w:t>
            </w:r>
            <w:r>
              <w:rPr>
                <w:rFonts w:ascii="仿宋_GB2312" w:hAnsi="仿宋" w:eastAsia="仿宋_GB2312"/>
                <w:sz w:val="24"/>
              </w:rPr>
              <w:t>公里</w:t>
            </w:r>
          </w:p>
        </w:tc>
      </w:tr>
      <w:tr w14:paraId="7D961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1" w:type="dxa"/>
            <w:shd w:val="clear" w:color="auto" w:fill="auto"/>
            <w:noWrap/>
            <w:vAlign w:val="center"/>
          </w:tcPr>
          <w:p w14:paraId="22FCDE6F">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2</w:t>
            </w:r>
          </w:p>
        </w:tc>
        <w:tc>
          <w:tcPr>
            <w:tcW w:w="1738" w:type="dxa"/>
            <w:shd w:val="clear" w:color="auto" w:fill="auto"/>
            <w:vAlign w:val="center"/>
          </w:tcPr>
          <w:p w14:paraId="69EB5CEE">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其他附属设施</w:t>
            </w:r>
          </w:p>
        </w:tc>
        <w:tc>
          <w:tcPr>
            <w:tcW w:w="3717" w:type="dxa"/>
            <w:vAlign w:val="center"/>
          </w:tcPr>
          <w:p w14:paraId="7A1FB7C9">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ascii="仿宋_GB2312" w:hAnsi="仿宋" w:eastAsia="仿宋_GB2312"/>
                <w:sz w:val="24"/>
              </w:rPr>
              <w:t>检查井、隔油井等</w:t>
            </w:r>
          </w:p>
        </w:tc>
        <w:tc>
          <w:tcPr>
            <w:tcW w:w="2025" w:type="dxa"/>
            <w:shd w:val="clear" w:color="auto" w:fill="auto"/>
            <w:noWrap/>
            <w:vAlign w:val="center"/>
          </w:tcPr>
          <w:p w14:paraId="77AA313C">
            <w:pPr>
              <w:pageBreakBefore w:val="0"/>
              <w:widowControl/>
              <w:wordWrap/>
              <w:topLinePunct w:val="0"/>
              <w:bidi w:val="0"/>
              <w:spacing w:beforeAutospacing="0" w:afterAutospacing="0" w:line="560" w:lineRule="exact"/>
              <w:jc w:val="center"/>
              <w:rPr>
                <w:rFonts w:hint="eastAsia" w:ascii="仿宋_GB2312" w:hAnsi="仿宋" w:eastAsia="仿宋_GB2312"/>
                <w:sz w:val="24"/>
              </w:rPr>
            </w:pPr>
            <w:r>
              <w:rPr>
                <w:rFonts w:hint="eastAsia" w:ascii="仿宋_GB2312" w:hAnsi="仿宋" w:eastAsia="仿宋_GB2312"/>
                <w:sz w:val="24"/>
                <w:lang w:eastAsia="zh-CN"/>
              </w:rPr>
              <w:t>约</w:t>
            </w:r>
            <w:r>
              <w:rPr>
                <w:rFonts w:hint="eastAsia" w:ascii="仿宋_GB2312" w:hAnsi="仿宋" w:eastAsia="仿宋_GB2312"/>
                <w:sz w:val="24"/>
                <w:lang w:val="en-US" w:eastAsia="zh-CN"/>
              </w:rPr>
              <w:t>5500</w:t>
            </w:r>
            <w:r>
              <w:rPr>
                <w:rFonts w:ascii="仿宋_GB2312" w:hAnsi="仿宋" w:eastAsia="仿宋_GB2312"/>
                <w:sz w:val="24"/>
              </w:rPr>
              <w:t>个</w:t>
            </w:r>
          </w:p>
        </w:tc>
      </w:tr>
    </w:tbl>
    <w:p w14:paraId="451DC5AC">
      <w:pPr>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（二）管理要求</w:t>
      </w:r>
    </w:p>
    <w:p w14:paraId="407D64AE">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1.人员配置</w:t>
      </w:r>
    </w:p>
    <w:p w14:paraId="5DCDBEE6">
      <w:pPr>
        <w:pStyle w:val="6"/>
        <w:pageBreakBefore w:val="0"/>
        <w:wordWrap/>
        <w:topLinePunct w:val="0"/>
        <w:bidi w:val="0"/>
        <w:spacing w:beforeAutospacing="0" w:afterAutospacing="0" w:line="560" w:lineRule="exact"/>
        <w:ind w:firstLine="480" w:firstLineChars="200"/>
        <w:rPr>
          <w:rFonts w:hint="eastAsia"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制定人员管理制度</w:t>
      </w:r>
      <w:r>
        <w:rPr>
          <w:rFonts w:ascii="仿宋_GB2312" w:hAnsi="仿宋" w:eastAsia="仿宋_GB2312"/>
          <w:color w:val="000000" w:themeColor="text1"/>
          <w:sz w:val="24"/>
          <w:highlight w:val="none"/>
          <w14:textFill>
            <w14:solidFill>
              <w14:schemeClr w14:val="tx1"/>
            </w14:solidFill>
          </w14:textFill>
        </w:rPr>
        <w:t>，包括</w:t>
      </w:r>
      <w:r>
        <w:rPr>
          <w:rFonts w:hint="eastAsia" w:ascii="仿宋_GB2312" w:hAnsi="仿宋" w:eastAsia="仿宋_GB2312"/>
          <w:color w:val="000000" w:themeColor="text1"/>
          <w:sz w:val="24"/>
          <w:highlight w:val="none"/>
          <w14:textFill>
            <w14:solidFill>
              <w14:schemeClr w14:val="tx1"/>
            </w14:solidFill>
          </w14:textFill>
        </w:rPr>
        <w:t>专业技术培训、</w:t>
      </w:r>
      <w:r>
        <w:rPr>
          <w:rFonts w:ascii="仿宋_GB2312" w:hAnsi="仿宋" w:eastAsia="仿宋_GB2312"/>
          <w:color w:val="000000" w:themeColor="text1"/>
          <w:sz w:val="24"/>
          <w:highlight w:val="none"/>
          <w14:textFill>
            <w14:solidFill>
              <w14:schemeClr w14:val="tx1"/>
            </w14:solidFill>
          </w14:textFill>
        </w:rPr>
        <w:t>安全操作、应急处理等内容。</w:t>
      </w:r>
      <w:r>
        <w:rPr>
          <w:rFonts w:hint="eastAsia" w:ascii="仿宋_GB2312" w:hAnsi="仿宋" w:eastAsia="仿宋_GB2312"/>
          <w:color w:val="000000" w:themeColor="text1"/>
          <w:sz w:val="24"/>
          <w:highlight w:val="none"/>
          <w14:textFill>
            <w14:solidFill>
              <w14:schemeClr w14:val="tx1"/>
            </w14:solidFill>
          </w14:textFill>
        </w:rPr>
        <w:t>所配备运维人员需为全职专业人员，不得兼职或混岗。</w:t>
      </w:r>
    </w:p>
    <w:p w14:paraId="5F360732">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2.安全管理</w:t>
      </w:r>
    </w:p>
    <w:p w14:paraId="34994E40">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制定有限空间作业、防硫化氢中毒、防爆等安全规程。配备安全防护装备（气体检测仪、</w:t>
      </w:r>
      <w:r>
        <w:rPr>
          <w:rFonts w:hint="eastAsia" w:ascii="仿宋_GB2312" w:hAnsi="仿宋" w:eastAsia="仿宋_GB2312"/>
          <w:sz w:val="24"/>
        </w:rPr>
        <w:t>正压式</w:t>
      </w:r>
      <w:r>
        <w:rPr>
          <w:rFonts w:ascii="仿宋_GB2312" w:hAnsi="仿宋" w:eastAsia="仿宋_GB2312"/>
          <w:sz w:val="24"/>
        </w:rPr>
        <w:t>呼吸器等）。</w:t>
      </w:r>
    </w:p>
    <w:p w14:paraId="4EE591E1">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3.档案管理</w:t>
      </w:r>
    </w:p>
    <w:p w14:paraId="2C97F7EF">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建立电子化运维台账，包括巡检记录、维修记录、水质报告等，保存期不少于3年。</w:t>
      </w:r>
    </w:p>
    <w:p w14:paraId="004F1DEA">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4.应急管理</w:t>
      </w:r>
    </w:p>
    <w:p w14:paraId="54E67F00">
      <w:pPr>
        <w:pStyle w:val="6"/>
        <w:pageBreakBefore w:val="0"/>
        <w:wordWrap/>
        <w:topLinePunct w:val="0"/>
        <w:bidi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编制防汛、停电、设备故障等应急预案，每年至少组织1次演练。</w:t>
      </w:r>
    </w:p>
    <w:p w14:paraId="4C8281EA">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三、合同价款</w:t>
      </w:r>
    </w:p>
    <w:p w14:paraId="568411F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（一）合同总价：</w:t>
      </w:r>
      <w:r>
        <w:rPr>
          <w:rFonts w:hint="eastAsia" w:ascii="仿宋_GB2312" w:hAnsi="仿宋" w:eastAsia="仿宋_GB2312"/>
          <w:sz w:val="24"/>
          <w:lang w:val="en-US" w:eastAsia="zh-CN"/>
        </w:rPr>
        <w:t>¥</w:t>
      </w:r>
      <w:r>
        <w:rPr>
          <w:rFonts w:hint="eastAsia" w:ascii="仿宋_GB2312" w:hAnsi="仿宋" w:eastAsia="仿宋_GB2312"/>
          <w:sz w:val="24"/>
          <w:u w:val="single"/>
          <w:lang w:val="en-US" w:eastAsia="zh-CN"/>
        </w:rPr>
        <w:t xml:space="preserve">：            </w:t>
      </w:r>
      <w:r>
        <w:rPr>
          <w:rFonts w:hint="eastAsia" w:ascii="仿宋_GB2312" w:hAnsi="仿宋" w:eastAsia="仿宋_GB2312"/>
          <w:sz w:val="24"/>
        </w:rPr>
        <w:t>（大写）</w:t>
      </w:r>
      <w:r>
        <w:rPr>
          <w:rFonts w:hint="eastAsia" w:ascii="仿宋_GB2312" w:hAnsi="仿宋" w:eastAsia="仿宋_GB2312"/>
          <w:sz w:val="24"/>
          <w:u w:val="single"/>
          <w:lang w:val="en-US" w:eastAsia="zh-CN"/>
        </w:rPr>
        <w:t xml:space="preserve">                 </w:t>
      </w:r>
      <w:r>
        <w:rPr>
          <w:rFonts w:hint="eastAsia" w:ascii="仿宋_GB2312" w:hAnsi="仿宋" w:eastAsia="仿宋_GB2312"/>
          <w:sz w:val="24"/>
          <w:lang w:val="en-US" w:eastAsia="zh-CN"/>
        </w:rPr>
        <w:t xml:space="preserve">  </w:t>
      </w:r>
    </w:p>
    <w:p w14:paraId="4921159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（二）合同总价包括：投标人应在投标报价表中标明完成本项目范围内所要求的且验收合格的所有费用，包括涉及的直接费、间接费、利润、税金、招标代理服务费及其它相关的一切费用。</w:t>
      </w:r>
    </w:p>
    <w:p w14:paraId="4ABBA1DB">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四、合同结算</w:t>
      </w:r>
    </w:p>
    <w:p w14:paraId="46F345C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color w:val="0000FF"/>
          <w:sz w:val="24"/>
        </w:rPr>
      </w:pPr>
      <w:r>
        <w:rPr>
          <w:rFonts w:hint="eastAsia" w:ascii="仿宋_GB2312" w:hAnsi="仿宋" w:eastAsia="仿宋_GB2312"/>
          <w:color w:val="000000"/>
          <w:sz w:val="24"/>
        </w:rPr>
        <w:t>1、付款方式：</w:t>
      </w:r>
      <w:r>
        <w:rPr>
          <w:rFonts w:hint="eastAsia" w:ascii="仿宋_GB2312" w:hAnsi="仿宋" w:eastAsia="仿宋_GB2312"/>
          <w:sz w:val="24"/>
        </w:rPr>
        <w:t>合同签订后支付项目总价款的40%；服务期满180日且考核合格后支付合同总价款的30%；项目履行完毕，考核合格且通过验收后支付合同总价款的30%</w:t>
      </w:r>
      <w:r>
        <w:rPr>
          <w:rFonts w:hint="eastAsia" w:ascii="仿宋_GB2312" w:hAnsi="仿宋" w:eastAsia="仿宋_GB2312"/>
          <w:color w:val="000000"/>
          <w:sz w:val="24"/>
        </w:rPr>
        <w:t>。</w:t>
      </w:r>
    </w:p>
    <w:p w14:paraId="790CA4FA">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2、结算方式：银行转账。</w:t>
      </w:r>
    </w:p>
    <w:p w14:paraId="0F5D00FF">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五、双方权利义务</w:t>
      </w:r>
    </w:p>
    <w:p w14:paraId="59A2E6C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（一）采购人权利、义务</w:t>
      </w:r>
    </w:p>
    <w:p w14:paraId="37B3BD70">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1、审定供应商拟定的管理制度。</w:t>
      </w:r>
    </w:p>
    <w:p w14:paraId="2AA701FC">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2、检查、监督供应商服务工作的实施及制度的执行情况。</w:t>
      </w:r>
    </w:p>
    <w:p w14:paraId="0D21CBEC">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3、采购人将污水处理站、污水收集系统和其他附属设施委托给供应商管理。</w:t>
      </w:r>
    </w:p>
    <w:p w14:paraId="0170013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4、采购人有权要求供应商更换不称职的工作人员。</w:t>
      </w:r>
    </w:p>
    <w:p w14:paraId="44E916E0">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5、采购人对供应商进行考核。</w:t>
      </w:r>
    </w:p>
    <w:p w14:paraId="4F2B02FA">
      <w:pPr>
        <w:pStyle w:val="3"/>
        <w:pageBreakBefore w:val="0"/>
        <w:wordWrap/>
        <w:topLinePunct w:val="0"/>
        <w:bidi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6、采购人</w:t>
      </w:r>
      <w:r>
        <w:rPr>
          <w:rFonts w:ascii="仿宋_GB2312" w:hAnsi="仿宋" w:eastAsia="仿宋_GB2312"/>
          <w:sz w:val="24"/>
        </w:rPr>
        <w:t>有义务</w:t>
      </w:r>
      <w:r>
        <w:rPr>
          <w:rFonts w:hint="eastAsia" w:ascii="仿宋_GB2312" w:hAnsi="仿宋" w:eastAsia="仿宋_GB2312"/>
          <w:sz w:val="24"/>
        </w:rPr>
        <w:t>保证被处理水域为生活污水，不含有化学污染物和工业废水流入。</w:t>
      </w:r>
    </w:p>
    <w:p w14:paraId="26D70F4E">
      <w:pPr>
        <w:pStyle w:val="3"/>
        <w:pageBreakBefore w:val="0"/>
        <w:wordWrap/>
        <w:topLinePunct w:val="0"/>
        <w:bidi w:val="0"/>
        <w:spacing w:beforeAutospacing="0" w:afterAutospacing="0" w:line="560" w:lineRule="exact"/>
        <w:rPr>
          <w:rFonts w:hint="eastAsia" w:ascii="仿宋_GB2312" w:hAnsi="仿宋" w:eastAsia="仿宋_GB2312"/>
          <w:sz w:val="24"/>
        </w:rPr>
      </w:pPr>
      <w:r>
        <w:rPr>
          <w:rFonts w:ascii="仿宋_GB2312" w:hAnsi="仿宋" w:eastAsia="仿宋_GB2312"/>
          <w:sz w:val="24"/>
        </w:rPr>
        <w:t>7</w:t>
      </w:r>
      <w:r>
        <w:rPr>
          <w:rFonts w:hint="eastAsia" w:ascii="仿宋_GB2312" w:hAnsi="仿宋" w:eastAsia="仿宋_GB2312"/>
          <w:sz w:val="24"/>
        </w:rPr>
        <w:t>、采购人</w:t>
      </w:r>
      <w:r>
        <w:rPr>
          <w:rFonts w:ascii="仿宋_GB2312" w:hAnsi="仿宋" w:eastAsia="仿宋_GB2312"/>
          <w:sz w:val="24"/>
        </w:rPr>
        <w:t>有义务</w:t>
      </w:r>
      <w:r>
        <w:rPr>
          <w:rFonts w:hint="eastAsia" w:ascii="仿宋_GB2312" w:hAnsi="仿宋" w:eastAsia="仿宋_GB2312"/>
          <w:sz w:val="24"/>
        </w:rPr>
        <w:t>根据</w:t>
      </w:r>
      <w:r>
        <w:rPr>
          <w:rFonts w:ascii="仿宋_GB2312" w:hAnsi="仿宋" w:eastAsia="仿宋_GB2312"/>
          <w:sz w:val="24"/>
        </w:rPr>
        <w:t>合同约定按时向供应商支付合同款。</w:t>
      </w:r>
    </w:p>
    <w:p w14:paraId="200EED9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（二）供应商权利、义务</w:t>
      </w:r>
    </w:p>
    <w:p w14:paraId="0621215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1、根据有关法律、法规及本合同的约定，制定管理制度。供应商应于本合同签订后一个月内制定出针对采购人的“管理规章制度、操作规范、工作计划”上报采购人，</w:t>
      </w:r>
      <w:r>
        <w:rPr>
          <w:rFonts w:ascii="仿宋_GB2312" w:hAnsi="仿宋" w:eastAsia="仿宋_GB2312"/>
          <w:sz w:val="24"/>
        </w:rPr>
        <w:t>并同采购人签订安全责任书</w:t>
      </w:r>
      <w:r>
        <w:rPr>
          <w:rFonts w:hint="eastAsia" w:ascii="仿宋_GB2312" w:hAnsi="仿宋" w:eastAsia="仿宋_GB2312"/>
          <w:sz w:val="24"/>
        </w:rPr>
        <w:t>。</w:t>
      </w:r>
    </w:p>
    <w:p w14:paraId="0021D74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2、供应商须按合同约定做好</w:t>
      </w:r>
      <w:r>
        <w:rPr>
          <w:rFonts w:ascii="仿宋_GB2312" w:hAnsi="仿宋" w:eastAsia="仿宋_GB2312"/>
          <w:sz w:val="24"/>
        </w:rPr>
        <w:t>服务</w:t>
      </w:r>
      <w:r>
        <w:rPr>
          <w:rFonts w:hint="eastAsia" w:ascii="仿宋_GB2312" w:hAnsi="仿宋" w:eastAsia="仿宋_GB2312"/>
          <w:sz w:val="24"/>
        </w:rPr>
        <w:t>范围内的日常养护、运行、管理等相关工作。</w:t>
      </w:r>
    </w:p>
    <w:p w14:paraId="4D0954B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3</w:t>
      </w:r>
      <w:r>
        <w:rPr>
          <w:rFonts w:hint="eastAsia" w:ascii="仿宋_GB2312" w:hAnsi="仿宋" w:eastAsia="仿宋_GB2312"/>
          <w:sz w:val="24"/>
        </w:rPr>
        <w:t>、供应商负责污水站运维</w:t>
      </w:r>
      <w:r>
        <w:rPr>
          <w:rFonts w:ascii="仿宋_GB2312" w:hAnsi="仿宋" w:eastAsia="仿宋_GB2312"/>
          <w:sz w:val="24"/>
        </w:rPr>
        <w:t>原料</w:t>
      </w:r>
      <w:r>
        <w:rPr>
          <w:rFonts w:hint="eastAsia" w:ascii="仿宋_GB2312" w:hAnsi="仿宋" w:eastAsia="仿宋_GB2312"/>
          <w:sz w:val="24"/>
        </w:rPr>
        <w:t>搬运、储存、使用中的安全及设备的运行操作安全等，若发生原料泄漏或爆炸，发生事故，供应商应负完全责任。</w:t>
      </w:r>
    </w:p>
    <w:p w14:paraId="1A3D97E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4</w:t>
      </w:r>
      <w:r>
        <w:rPr>
          <w:rFonts w:hint="eastAsia" w:ascii="仿宋_GB2312" w:hAnsi="仿宋" w:eastAsia="仿宋_GB2312"/>
          <w:sz w:val="24"/>
        </w:rPr>
        <w:t>、从托管运营之日起，由于供应商原因，造成采购人设备、物品损坏和任何人身伤亡事故，由供应商承担。</w:t>
      </w:r>
    </w:p>
    <w:p w14:paraId="1F59C0A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5</w:t>
      </w:r>
      <w:r>
        <w:rPr>
          <w:rFonts w:hint="eastAsia" w:ascii="仿宋_GB2312" w:hAnsi="仿宋" w:eastAsia="仿宋_GB2312"/>
          <w:sz w:val="24"/>
        </w:rPr>
        <w:t>、污水站系统运行不稳定造成不达标被相关部门处罚的罚款应由供应商承担。</w:t>
      </w:r>
    </w:p>
    <w:p w14:paraId="34FFD106">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6</w:t>
      </w:r>
      <w:r>
        <w:rPr>
          <w:rFonts w:hint="eastAsia" w:ascii="仿宋_GB2312" w:hAnsi="仿宋" w:eastAsia="仿宋_GB2312"/>
          <w:sz w:val="24"/>
        </w:rPr>
        <w:t>、因污水站管理不善，造成费用超支，亏损额应由供应商承担。</w:t>
      </w:r>
    </w:p>
    <w:p w14:paraId="31102CB4">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7</w:t>
      </w:r>
      <w:r>
        <w:rPr>
          <w:rFonts w:hint="eastAsia" w:ascii="仿宋_GB2312" w:hAnsi="仿宋" w:eastAsia="仿宋_GB2312"/>
          <w:sz w:val="24"/>
        </w:rPr>
        <w:t>、供应商必须服从采购人管理，遵守采购人的各项管理制度。每季度向采购人书面报告系统运行情况，并接受采购人和主管部门的工作检查、监督和指导。</w:t>
      </w:r>
    </w:p>
    <w:p w14:paraId="1DDC98DC">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8</w:t>
      </w:r>
      <w:r>
        <w:rPr>
          <w:rFonts w:hint="eastAsia" w:ascii="仿宋_GB2312" w:hAnsi="仿宋" w:eastAsia="仿宋_GB2312"/>
          <w:sz w:val="24"/>
        </w:rPr>
        <w:t>、供应商不得出卖、非法抵押采购人污水站的资产。</w:t>
      </w:r>
    </w:p>
    <w:p w14:paraId="1C6A43AA">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9</w:t>
      </w:r>
      <w:r>
        <w:rPr>
          <w:rFonts w:hint="eastAsia" w:ascii="仿宋_GB2312" w:hAnsi="仿宋" w:eastAsia="仿宋_GB2312"/>
          <w:sz w:val="24"/>
        </w:rPr>
        <w:t>、供应商应遵守有关的安全规定制定安全制度，采取有效措施保证供应商管理服务人员及建筑物内人员的安全，保护好环境，并与采购人签订安全责任书。</w:t>
      </w:r>
    </w:p>
    <w:p w14:paraId="08BAE29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11</w:t>
      </w:r>
      <w:r>
        <w:rPr>
          <w:rFonts w:hint="eastAsia" w:ascii="仿宋_GB2312" w:hAnsi="仿宋" w:eastAsia="仿宋_GB2312"/>
          <w:sz w:val="24"/>
        </w:rPr>
        <w:t>、污水处理站的应急处理。出现问题或突发情况时，应及时响应，</w:t>
      </w:r>
      <w:r>
        <w:rPr>
          <w:rFonts w:ascii="仿宋_GB2312" w:hAnsi="仿宋" w:eastAsia="仿宋_GB2312"/>
          <w:sz w:val="24"/>
        </w:rPr>
        <w:t>24</w:t>
      </w:r>
      <w:r>
        <w:rPr>
          <w:rFonts w:hint="eastAsia" w:ascii="仿宋_GB2312" w:hAnsi="仿宋" w:eastAsia="仿宋_GB2312"/>
          <w:sz w:val="24"/>
        </w:rPr>
        <w:t>小时内解决问题或有效控制突发情况。</w:t>
      </w:r>
    </w:p>
    <w:p w14:paraId="4D65E34C">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12</w:t>
      </w:r>
      <w:r>
        <w:rPr>
          <w:rFonts w:hint="eastAsia" w:ascii="仿宋_GB2312" w:hAnsi="仿宋" w:eastAsia="仿宋_GB2312"/>
          <w:sz w:val="24"/>
        </w:rPr>
        <w:t>、全面满足采购人监管要求。</w:t>
      </w:r>
    </w:p>
    <w:p w14:paraId="79A13B9B">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六、验收及考核</w:t>
      </w:r>
    </w:p>
    <w:p w14:paraId="6AFDDBE0">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z w:val="24"/>
          <w:lang w:eastAsia="zh-CN"/>
        </w:rPr>
        <w:t>一</w:t>
      </w:r>
      <w:r>
        <w:rPr>
          <w:rFonts w:hint="eastAsia" w:ascii="仿宋_GB2312" w:hAnsi="仿宋" w:eastAsia="仿宋_GB2312"/>
          <w:sz w:val="24"/>
        </w:rPr>
        <w:t>）考核：服务期内采购人定期检查污水处理系统运行情况，检查中污水站出水应无异味、颜色无异常、污泥堆放处置规范，提升泵站内应无大量垃圾、提升泵正常运行，污水收集管网应畅通,无堵塞现象；</w:t>
      </w:r>
      <w:r>
        <w:rPr>
          <w:rFonts w:hint="eastAsia" w:ascii="仿宋_GB2312" w:hAnsi="仿宋" w:eastAsia="仿宋_GB2312"/>
          <w:sz w:val="24"/>
          <w:lang w:eastAsia="zh-CN"/>
        </w:rPr>
        <w:t>由区级部门</w:t>
      </w:r>
      <w:r>
        <w:rPr>
          <w:rFonts w:hint="eastAsia" w:ascii="仿宋_GB2312" w:hAnsi="仿宋" w:eastAsia="仿宋_GB2312"/>
          <w:sz w:val="24"/>
        </w:rPr>
        <w:t>每季度对污水处理站开展1次监督性监测，出水水质应达到合同“委托内容”中约定的标准。每半年进行一次考核，可采取且不限于现场检查、专家评定等方式进行判定，定期检查、监督性监测等纳入考核内容，考核合格后，出具合格证明，考核结果作为付款依据。</w:t>
      </w:r>
    </w:p>
    <w:p w14:paraId="3B0C57E0">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z w:val="24"/>
          <w:lang w:eastAsia="zh-CN"/>
        </w:rPr>
        <w:t>二</w:t>
      </w:r>
      <w:r>
        <w:rPr>
          <w:rFonts w:hint="eastAsia" w:ascii="仿宋_GB2312" w:hAnsi="仿宋" w:eastAsia="仿宋_GB2312"/>
          <w:sz w:val="24"/>
        </w:rPr>
        <w:t>）综合验收：服务期满且完成本合同服务内容，供应商向采购人提出申请，采购人接到供应商验收申请后组织综合验收，验收合格后，出具验收合格证明，验收结果作为付款依据。供应商向采购人提交实施过程中的所有资料，以便采购人日后管理和维护。</w:t>
      </w:r>
    </w:p>
    <w:p w14:paraId="0047AD3E">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highlight w:val="none"/>
        </w:rPr>
      </w:pPr>
      <w:r>
        <w:rPr>
          <w:rFonts w:ascii="仿宋_GB2312" w:hAnsi="仿宋" w:eastAsia="仿宋_GB2312"/>
          <w:sz w:val="24"/>
          <w:highlight w:val="none"/>
        </w:rPr>
        <w:t>（</w:t>
      </w:r>
      <w:r>
        <w:rPr>
          <w:rFonts w:hint="eastAsia" w:ascii="仿宋_GB2312" w:hAnsi="仿宋" w:eastAsia="仿宋_GB2312"/>
          <w:sz w:val="24"/>
          <w:highlight w:val="none"/>
          <w:lang w:eastAsia="zh-CN"/>
        </w:rPr>
        <w:t>三</w:t>
      </w:r>
      <w:r>
        <w:rPr>
          <w:rFonts w:ascii="仿宋_GB2312" w:hAnsi="仿宋" w:eastAsia="仿宋_GB2312"/>
          <w:sz w:val="24"/>
          <w:highlight w:val="none"/>
        </w:rPr>
        <w:t>）服务期计算方法:污水处理站初次验收合格后起算服务期，进入服务期的污水处理站运维总设计量超过18000立方米/日，且运维服务期大于等于180日时视为</w:t>
      </w:r>
      <w:r>
        <w:rPr>
          <w:rFonts w:hint="eastAsia" w:ascii="仿宋_GB2312" w:hAnsi="仿宋" w:eastAsia="仿宋_GB2312"/>
          <w:sz w:val="24"/>
          <w:highlight w:val="none"/>
        </w:rPr>
        <w:t>“</w:t>
      </w:r>
      <w:r>
        <w:rPr>
          <w:rFonts w:ascii="仿宋_GB2312" w:hAnsi="仿宋" w:eastAsia="仿宋_GB2312"/>
          <w:sz w:val="24"/>
          <w:highlight w:val="none"/>
        </w:rPr>
        <w:t>服务期满180日</w:t>
      </w:r>
      <w:r>
        <w:rPr>
          <w:rFonts w:hint="eastAsia" w:ascii="仿宋_GB2312" w:hAnsi="仿宋" w:eastAsia="仿宋_GB2312"/>
          <w:sz w:val="24"/>
          <w:highlight w:val="none"/>
        </w:rPr>
        <w:t>”</w:t>
      </w:r>
      <w:r>
        <w:rPr>
          <w:rFonts w:ascii="仿宋_GB2312" w:hAnsi="仿宋" w:eastAsia="仿宋_GB2312"/>
          <w:sz w:val="24"/>
          <w:highlight w:val="none"/>
        </w:rPr>
        <w:t>；所有污水处理站运维服务期满365日视为</w:t>
      </w:r>
      <w:r>
        <w:rPr>
          <w:rFonts w:hint="eastAsia" w:ascii="仿宋_GB2312" w:hAnsi="仿宋" w:eastAsia="仿宋_GB2312"/>
          <w:sz w:val="24"/>
          <w:highlight w:val="none"/>
        </w:rPr>
        <w:t>“</w:t>
      </w:r>
      <w:r>
        <w:rPr>
          <w:rFonts w:ascii="仿宋_GB2312" w:hAnsi="仿宋" w:eastAsia="仿宋_GB2312"/>
          <w:sz w:val="24"/>
          <w:highlight w:val="none"/>
        </w:rPr>
        <w:t>项目履行完毕</w:t>
      </w:r>
      <w:r>
        <w:rPr>
          <w:rFonts w:hint="eastAsia" w:ascii="仿宋_GB2312" w:hAnsi="仿宋" w:eastAsia="仿宋_GB2312"/>
          <w:sz w:val="24"/>
          <w:highlight w:val="none"/>
        </w:rPr>
        <w:t>”</w:t>
      </w:r>
      <w:r>
        <w:rPr>
          <w:rFonts w:ascii="仿宋_GB2312" w:hAnsi="仿宋" w:eastAsia="仿宋_GB2312"/>
          <w:sz w:val="24"/>
          <w:highlight w:val="none"/>
        </w:rPr>
        <w:t>。</w:t>
      </w:r>
    </w:p>
    <w:p w14:paraId="417C529E">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七、违约责任</w:t>
      </w:r>
    </w:p>
    <w:p w14:paraId="101ACD2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highlight w:val="none"/>
        </w:rPr>
      </w:pPr>
      <w:r>
        <w:rPr>
          <w:rFonts w:ascii="仿宋_GB2312" w:hAnsi="仿宋" w:eastAsia="仿宋_GB2312"/>
          <w:sz w:val="24"/>
          <w:highlight w:val="none"/>
        </w:rPr>
        <w:t>1.</w:t>
      </w:r>
      <w:r>
        <w:rPr>
          <w:rFonts w:hint="eastAsia" w:ascii="仿宋_GB2312" w:hAnsi="仿宋" w:eastAsia="仿宋_GB2312"/>
          <w:sz w:val="24"/>
          <w:highlight w:val="none"/>
        </w:rPr>
        <w:t>水质合格率</w:t>
      </w:r>
      <w:r>
        <w:rPr>
          <w:rFonts w:ascii="仿宋_GB2312" w:hAnsi="仿宋" w:eastAsia="仿宋_GB2312"/>
          <w:sz w:val="24"/>
          <w:highlight w:val="none"/>
        </w:rPr>
        <w:t>。</w:t>
      </w:r>
      <w:r>
        <w:rPr>
          <w:rFonts w:hint="eastAsia" w:ascii="仿宋_GB2312" w:hAnsi="仿宋" w:eastAsia="仿宋_GB2312"/>
          <w:sz w:val="24"/>
          <w:highlight w:val="none"/>
        </w:rPr>
        <w:t>污水站监督性监测不达标次数小于等于</w:t>
      </w:r>
      <w:r>
        <w:rPr>
          <w:rFonts w:hint="eastAsia" w:ascii="仿宋_GB2312" w:hAnsi="仿宋" w:eastAsia="仿宋_GB2312"/>
          <w:sz w:val="24"/>
          <w:highlight w:val="none"/>
          <w:lang w:val="en-US" w:eastAsia="zh-CN"/>
        </w:rPr>
        <w:t>2</w:t>
      </w:r>
      <w:r>
        <w:rPr>
          <w:rFonts w:hint="eastAsia" w:ascii="仿宋_GB2312" w:hAnsi="仿宋" w:eastAsia="仿宋_GB2312"/>
          <w:sz w:val="24"/>
          <w:highlight w:val="none"/>
        </w:rPr>
        <w:t>次，供应商限期整改。污水站监督性监测不达标次数大于</w:t>
      </w:r>
      <w:r>
        <w:rPr>
          <w:rFonts w:hint="eastAsia" w:ascii="仿宋_GB2312" w:hAnsi="仿宋" w:eastAsia="仿宋_GB2312"/>
          <w:sz w:val="24"/>
          <w:highlight w:val="none"/>
          <w:lang w:val="en-US" w:eastAsia="zh-CN"/>
        </w:rPr>
        <w:t>2</w:t>
      </w:r>
      <w:r>
        <w:rPr>
          <w:rFonts w:hint="eastAsia" w:ascii="仿宋_GB2312" w:hAnsi="仿宋" w:eastAsia="仿宋_GB2312"/>
          <w:sz w:val="24"/>
          <w:highlight w:val="none"/>
        </w:rPr>
        <w:t>次，小于等于</w:t>
      </w:r>
      <w:r>
        <w:rPr>
          <w:rFonts w:hint="eastAsia" w:ascii="仿宋_GB2312" w:hAnsi="仿宋" w:eastAsia="仿宋_GB2312"/>
          <w:sz w:val="24"/>
          <w:highlight w:val="none"/>
          <w:lang w:val="en-US" w:eastAsia="zh-CN"/>
        </w:rPr>
        <w:t>4</w:t>
      </w:r>
      <w:r>
        <w:rPr>
          <w:rFonts w:hint="eastAsia" w:ascii="仿宋_GB2312" w:hAnsi="仿宋" w:eastAsia="仿宋_GB2312"/>
          <w:sz w:val="24"/>
          <w:highlight w:val="none"/>
        </w:rPr>
        <w:t>次，扣除合同价款的3%，即人民币6</w:t>
      </w:r>
      <w:r>
        <w:rPr>
          <w:rFonts w:hint="eastAsia" w:ascii="仿宋_GB2312" w:hAnsi="仿宋" w:eastAsia="仿宋_GB2312"/>
          <w:color w:val="000000"/>
          <w:sz w:val="24"/>
          <w:highlight w:val="none"/>
        </w:rPr>
        <w:t>78000.00元（大写：陆拾柒万捌仟元整）</w:t>
      </w:r>
      <w:r>
        <w:rPr>
          <w:rFonts w:hint="eastAsia" w:ascii="仿宋_GB2312" w:hAnsi="仿宋" w:eastAsia="仿宋_GB2312"/>
          <w:sz w:val="24"/>
          <w:highlight w:val="none"/>
        </w:rPr>
        <w:t>。污水站监督性监测不达标次数大于</w:t>
      </w:r>
      <w:r>
        <w:rPr>
          <w:rFonts w:hint="eastAsia" w:ascii="仿宋_GB2312" w:hAnsi="仿宋" w:eastAsia="仿宋_GB2312"/>
          <w:sz w:val="24"/>
          <w:highlight w:val="none"/>
          <w:lang w:val="en-US" w:eastAsia="zh-CN"/>
        </w:rPr>
        <w:t>4</w:t>
      </w:r>
      <w:r>
        <w:rPr>
          <w:rFonts w:hint="eastAsia" w:ascii="仿宋_GB2312" w:hAnsi="仿宋" w:eastAsia="仿宋_GB2312"/>
          <w:sz w:val="24"/>
          <w:highlight w:val="none"/>
        </w:rPr>
        <w:t>次，未造成生态环境污染，</w:t>
      </w:r>
      <w:r>
        <w:rPr>
          <w:rFonts w:ascii="仿宋_GB2312" w:hAnsi="仿宋" w:eastAsia="仿宋_GB2312"/>
          <w:sz w:val="24"/>
          <w:highlight w:val="none"/>
        </w:rPr>
        <w:t>且</w:t>
      </w:r>
      <w:r>
        <w:rPr>
          <w:rFonts w:hint="eastAsia" w:ascii="仿宋_GB2312" w:hAnsi="仿宋" w:eastAsia="仿宋_GB2312"/>
          <w:sz w:val="24"/>
          <w:highlight w:val="none"/>
        </w:rPr>
        <w:t>未被相关部门处罚，供应商承担相应责任，采购人有权终止服务合同，未支付款项不再支付。</w:t>
      </w:r>
    </w:p>
    <w:p w14:paraId="517B421A">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2.</w:t>
      </w:r>
      <w:r>
        <w:rPr>
          <w:rFonts w:hint="eastAsia" w:ascii="仿宋_GB2312" w:hAnsi="仿宋" w:eastAsia="仿宋_GB2312"/>
          <w:sz w:val="24"/>
        </w:rPr>
        <w:t>脱水污泥处置合规性</w:t>
      </w:r>
      <w:r>
        <w:rPr>
          <w:rFonts w:ascii="仿宋_GB2312" w:hAnsi="仿宋" w:eastAsia="仿宋_GB2312"/>
          <w:sz w:val="24"/>
        </w:rPr>
        <w:t>。</w:t>
      </w:r>
      <w:r>
        <w:rPr>
          <w:rFonts w:hint="eastAsia" w:ascii="仿宋_GB2312" w:hAnsi="仿宋" w:eastAsia="仿宋_GB2312"/>
          <w:sz w:val="24"/>
        </w:rPr>
        <w:t>具备科学、合理的处置办法及处置协议，不得出现抛撒滴漏，随意倾倒，造成周边环境的二次污染现象，污泥全部规范化处理。若因转移处置不及时造成二次污染或处罚事宜，由供应商承担全部责任，且采购人有权扣除相应污泥处置费用。</w:t>
      </w:r>
    </w:p>
    <w:p w14:paraId="64CB7492">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ascii="仿宋_GB2312" w:hAnsi="仿宋" w:eastAsia="仿宋_GB2312"/>
          <w:sz w:val="24"/>
        </w:rPr>
        <w:t>3.</w:t>
      </w:r>
      <w:r>
        <w:rPr>
          <w:rFonts w:hint="eastAsia"/>
          <w:sz w:val="24"/>
        </w:rPr>
        <w:t xml:space="preserve"> </w:t>
      </w:r>
      <w:r>
        <w:rPr>
          <w:rFonts w:hint="eastAsia" w:ascii="仿宋_GB2312" w:hAnsi="仿宋" w:eastAsia="仿宋_GB2312"/>
          <w:sz w:val="24"/>
        </w:rPr>
        <w:t>安全运行管理</w:t>
      </w:r>
      <w:r>
        <w:rPr>
          <w:rFonts w:ascii="仿宋_GB2312" w:hAnsi="仿宋" w:eastAsia="仿宋_GB2312"/>
          <w:sz w:val="24"/>
        </w:rPr>
        <w:t>。</w:t>
      </w:r>
      <w:r>
        <w:rPr>
          <w:rFonts w:hint="eastAsia" w:ascii="仿宋_GB2312" w:hAnsi="仿宋" w:eastAsia="仿宋_GB2312"/>
          <w:sz w:val="24"/>
        </w:rPr>
        <w:t>因供应商管理原因导致的违法违规事件和安全生产事故，由供应商承担全部责任并向甲方支付合同总价款20%的违约金，因此给甲方造成损失的，还应当赔偿甲方全部损失，且甲方有权解除服务合同。</w:t>
      </w:r>
    </w:p>
    <w:p w14:paraId="7E7857B7">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highlight w:val="none"/>
        </w:rPr>
      </w:pPr>
      <w:r>
        <w:rPr>
          <w:rFonts w:hint="eastAsia" w:ascii="仿宋_GB2312" w:hAnsi="仿宋" w:eastAsia="仿宋_GB2312"/>
          <w:sz w:val="24"/>
          <w:highlight w:val="none"/>
        </w:rPr>
        <w:t>4.因</w:t>
      </w:r>
      <w:r>
        <w:rPr>
          <w:rFonts w:ascii="仿宋_GB2312" w:hAnsi="仿宋" w:eastAsia="仿宋_GB2312"/>
          <w:sz w:val="24"/>
          <w:highlight w:val="none"/>
        </w:rPr>
        <w:t>来水量大于污水处理站设计处理</w:t>
      </w:r>
      <w:r>
        <w:rPr>
          <w:rFonts w:hint="eastAsia" w:ascii="仿宋_GB2312" w:hAnsi="仿宋" w:eastAsia="仿宋_GB2312"/>
          <w:sz w:val="24"/>
          <w:highlight w:val="none"/>
        </w:rPr>
        <w:t>量、进水指标大于《陕西省农村生活污水治理技术指南》农村居民生活污水水质参考值时，导致污</w:t>
      </w:r>
      <w:r>
        <w:rPr>
          <w:rFonts w:hint="eastAsia" w:ascii="仿宋_GB2312" w:hAnsi="仿宋" w:eastAsia="仿宋_GB2312"/>
          <w:color w:val="000000" w:themeColor="text1"/>
          <w:sz w:val="24"/>
          <w:highlight w:val="none"/>
          <w14:textFill>
            <w14:solidFill>
              <w14:schemeClr w14:val="tx1"/>
            </w14:solidFill>
          </w14:textFill>
        </w:rPr>
        <w:t>水</w:t>
      </w:r>
      <w:r>
        <w:rPr>
          <w:rFonts w:hint="eastAsia" w:ascii="仿宋_GB2312" w:hAnsi="仿宋" w:eastAsia="仿宋_GB2312"/>
          <w:sz w:val="24"/>
          <w:highlight w:val="none"/>
        </w:rPr>
        <w:t>溢流造成尾水超标的情况,供应商不承担由于污水溢流及水质合格率产生的违约责任。</w:t>
      </w:r>
    </w:p>
    <w:p w14:paraId="3C00650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5.未经甲方同意，乙方擅自将本项目分包、转包给第三方，或将本合同任何权利义务转让给第三方的，乙方应向甲方支付合同总价款20%的违约金，并退还甲方已付费用，且甲方有权</w:t>
      </w:r>
      <w:r>
        <w:rPr>
          <w:rFonts w:hint="eastAsia" w:ascii="仿宋_GB2312" w:hAnsi="仿宋" w:eastAsia="仿宋_GB2312"/>
          <w:sz w:val="24"/>
          <w:lang w:eastAsia="zh-CN"/>
        </w:rPr>
        <w:t>解除</w:t>
      </w:r>
      <w:r>
        <w:rPr>
          <w:rFonts w:hint="eastAsia" w:ascii="仿宋_GB2312" w:hAnsi="仿宋" w:eastAsia="仿宋_GB2312"/>
          <w:sz w:val="24"/>
        </w:rPr>
        <w:t>合同。</w:t>
      </w:r>
    </w:p>
    <w:p w14:paraId="144F624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6．乙方泄露污水处理数据或履行本合同过程中获取的甲方未公开信息的，或将前述信息用于本合同外项目、目的，乙方应向甲方支付合同总价款20%的违约金，因此给甲方造成损失的2，还应当赔偿甲方全部损失。</w:t>
      </w:r>
    </w:p>
    <w:p w14:paraId="33E7C958">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7.其他</w:t>
      </w:r>
      <w:r>
        <w:rPr>
          <w:rFonts w:ascii="仿宋_GB2312" w:hAnsi="仿宋" w:eastAsia="仿宋_GB2312"/>
          <w:sz w:val="24"/>
        </w:rPr>
        <w:t>违约责任</w:t>
      </w:r>
      <w:r>
        <w:rPr>
          <w:rFonts w:hint="eastAsia" w:ascii="仿宋_GB2312" w:hAnsi="仿宋" w:eastAsia="仿宋_GB2312"/>
          <w:sz w:val="24"/>
        </w:rPr>
        <w:t>按《中华人民共和国民法典》中的相关条款执行。</w:t>
      </w:r>
    </w:p>
    <w:p w14:paraId="0C9CA852">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八、争议的解决</w:t>
      </w:r>
    </w:p>
    <w:p w14:paraId="6A331EC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合同未尽事宜，双方协商解决。协商不成，双方同意向采购人所在地人民法院进行裁决。</w:t>
      </w:r>
    </w:p>
    <w:p w14:paraId="2692A19A">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九、合同组成</w:t>
      </w:r>
    </w:p>
    <w:p w14:paraId="4EAF869E">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1、成交通知书</w:t>
      </w:r>
    </w:p>
    <w:p w14:paraId="65A195D6">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2、合同文件</w:t>
      </w:r>
    </w:p>
    <w:p w14:paraId="044375A0">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3、国家相关规范及标准</w:t>
      </w:r>
    </w:p>
    <w:p w14:paraId="31371DE3">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4、招标文件</w:t>
      </w:r>
    </w:p>
    <w:p w14:paraId="43B58A6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5、投标文件</w:t>
      </w:r>
    </w:p>
    <w:p w14:paraId="7BC422E4">
      <w:pPr>
        <w:pageBreakBefore w:val="0"/>
        <w:wordWrap/>
        <w:topLinePunct w:val="0"/>
        <w:bidi w:val="0"/>
        <w:adjustRightInd w:val="0"/>
        <w:snapToGrid w:val="0"/>
        <w:spacing w:beforeAutospacing="0" w:afterAutospacing="0" w:line="560" w:lineRule="exact"/>
        <w:ind w:firstLine="480" w:firstLineChars="200"/>
        <w:rPr>
          <w:rFonts w:hint="eastAsia" w:ascii="黑体" w:hAnsi="黑体" w:eastAsia="黑体"/>
          <w:sz w:val="24"/>
        </w:rPr>
      </w:pPr>
      <w:r>
        <w:rPr>
          <w:rFonts w:hint="eastAsia" w:ascii="黑体" w:hAnsi="黑体" w:eastAsia="黑体"/>
          <w:sz w:val="24"/>
        </w:rPr>
        <w:t>十、合同生效及其它</w:t>
      </w:r>
    </w:p>
    <w:p w14:paraId="0FAD2B19">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1、合同未尽事宜，由采购人、供应商双方协商，作为合同补充，与原合同具有同等法律效力。</w:t>
      </w:r>
    </w:p>
    <w:p w14:paraId="234F5C3F">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2、本合同正本一式      份，正本     份、副本      份，采购人、供应商双方分别执      份。</w:t>
      </w:r>
    </w:p>
    <w:p w14:paraId="0A9B929B">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3、合同经双方盖章、签字后生效。</w:t>
      </w:r>
    </w:p>
    <w:tbl>
      <w:tblPr>
        <w:tblStyle w:val="13"/>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2"/>
        <w:gridCol w:w="4248"/>
      </w:tblGrid>
      <w:tr w14:paraId="2E978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6" w:hRule="atLeast"/>
          <w:jc w:val="center"/>
        </w:trPr>
        <w:tc>
          <w:tcPr>
            <w:tcW w:w="4132" w:type="dxa"/>
            <w:tcBorders>
              <w:top w:val="single" w:color="auto" w:sz="4" w:space="0"/>
              <w:left w:val="single" w:color="auto" w:sz="4" w:space="0"/>
              <w:bottom w:val="single" w:color="auto" w:sz="4" w:space="0"/>
              <w:right w:val="single" w:color="auto" w:sz="4" w:space="0"/>
            </w:tcBorders>
          </w:tcPr>
          <w:p w14:paraId="376EF1C7">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采购人：西安</w:t>
            </w:r>
            <w:r>
              <w:rPr>
                <w:rFonts w:hint="eastAsia" w:ascii="仿宋_GB2312" w:hAnsi="仿宋" w:eastAsia="仿宋_GB2312"/>
                <w:sz w:val="24"/>
                <w:lang w:eastAsia="zh-CN"/>
              </w:rPr>
              <w:t>市长安区灵沼街道办事处</w:t>
            </w:r>
          </w:p>
          <w:p w14:paraId="575823CC">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30FF4E61">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名称：（印章）</w:t>
            </w:r>
          </w:p>
          <w:p w14:paraId="186E9BBA">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6ACE22F5">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法定代表人（签字）：</w:t>
            </w:r>
          </w:p>
          <w:p w14:paraId="142AB60B">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10EC4EEC">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 xml:space="preserve">授权代表（签字）：                              </w:t>
            </w:r>
          </w:p>
          <w:p w14:paraId="648B7963">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5D65E247">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地址：</w:t>
            </w:r>
          </w:p>
          <w:p w14:paraId="789415DB">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186E1D62">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电话：</w:t>
            </w:r>
          </w:p>
          <w:p w14:paraId="62704E02">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p>
          <w:p w14:paraId="1C797075">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rPr>
              <w:t xml:space="preserve">  </w:t>
            </w:r>
            <w:r>
              <w:rPr>
                <w:rFonts w:hint="eastAsia" w:ascii="仿宋_GB2312" w:hAnsi="仿宋" w:eastAsia="仿宋_GB2312"/>
                <w:sz w:val="24"/>
                <w:lang w:val="en-US" w:eastAsia="zh-CN"/>
              </w:rPr>
              <w:t xml:space="preserve">   </w:t>
            </w:r>
            <w:r>
              <w:rPr>
                <w:rFonts w:hint="eastAsia" w:ascii="仿宋_GB2312" w:hAnsi="仿宋" w:eastAsia="仿宋_GB2312"/>
                <w:sz w:val="24"/>
              </w:rPr>
              <w:t xml:space="preserve"> 年    月     日</w:t>
            </w:r>
          </w:p>
        </w:tc>
        <w:tc>
          <w:tcPr>
            <w:tcW w:w="4248" w:type="dxa"/>
            <w:tcBorders>
              <w:top w:val="single" w:color="auto" w:sz="4" w:space="0"/>
              <w:left w:val="nil"/>
              <w:bottom w:val="single" w:color="auto" w:sz="4" w:space="0"/>
              <w:right w:val="single" w:color="auto" w:sz="4" w:space="0"/>
            </w:tcBorders>
          </w:tcPr>
          <w:p w14:paraId="47F48F46">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供应商：</w:t>
            </w:r>
          </w:p>
          <w:p w14:paraId="6C17EBF4">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5BC677D6">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68DC6480">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名称：（印章）</w:t>
            </w:r>
          </w:p>
          <w:p w14:paraId="06E3CED8">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06D44A20">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法定代表人（签字）：</w:t>
            </w:r>
          </w:p>
          <w:p w14:paraId="4B13E456">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75659260">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 xml:space="preserve">授权代表（签字）：                              </w:t>
            </w:r>
          </w:p>
          <w:p w14:paraId="78388DB6">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49C2B9A6">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r>
              <w:rPr>
                <w:rFonts w:hint="eastAsia" w:ascii="仿宋_GB2312" w:hAnsi="仿宋" w:eastAsia="仿宋_GB2312"/>
                <w:sz w:val="24"/>
              </w:rPr>
              <w:t>地址：</w:t>
            </w:r>
            <w:r>
              <w:rPr>
                <w:rFonts w:ascii="仿宋_GB2312" w:hAnsi="仿宋" w:eastAsia="仿宋_GB2312"/>
                <w:sz w:val="24"/>
              </w:rPr>
              <w:t xml:space="preserve"> </w:t>
            </w:r>
          </w:p>
          <w:p w14:paraId="753FAF24">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p>
          <w:p w14:paraId="6FFA2508">
            <w:pPr>
              <w:pageBreakBefore w:val="0"/>
              <w:wordWrap/>
              <w:topLinePunct w:val="0"/>
              <w:bidi w:val="0"/>
              <w:adjustRightInd w:val="0"/>
              <w:snapToGrid w:val="0"/>
              <w:spacing w:beforeAutospacing="0" w:afterAutospacing="0" w:line="560" w:lineRule="exact"/>
              <w:rPr>
                <w:rFonts w:hint="eastAsia" w:ascii="仿宋_GB2312" w:hAnsi="仿宋" w:eastAsia="仿宋_GB2312"/>
                <w:sz w:val="24"/>
              </w:rPr>
            </w:pPr>
            <w:bookmarkStart w:id="0" w:name="_GoBack"/>
            <w:bookmarkEnd w:id="0"/>
            <w:r>
              <w:rPr>
                <w:rFonts w:hint="eastAsia" w:ascii="仿宋_GB2312" w:hAnsi="仿宋" w:eastAsia="仿宋_GB2312"/>
                <w:sz w:val="24"/>
              </w:rPr>
              <w:t>电话：</w:t>
            </w:r>
          </w:p>
          <w:p w14:paraId="2527CF27">
            <w:pPr>
              <w:pStyle w:val="4"/>
              <w:pageBreakBefore w:val="0"/>
              <w:wordWrap/>
              <w:topLinePunct w:val="0"/>
              <w:bidi w:val="0"/>
              <w:spacing w:beforeAutospacing="0" w:afterAutospacing="0" w:line="560" w:lineRule="exact"/>
              <w:ind w:left="834"/>
              <w:rPr>
                <w:sz w:val="24"/>
              </w:rPr>
            </w:pPr>
          </w:p>
          <w:p w14:paraId="6233432F">
            <w:pPr>
              <w:pageBreakBefore w:val="0"/>
              <w:wordWrap/>
              <w:topLinePunct w:val="0"/>
              <w:bidi w:val="0"/>
              <w:adjustRightInd w:val="0"/>
              <w:snapToGrid w:val="0"/>
              <w:spacing w:beforeAutospacing="0" w:afterAutospacing="0" w:line="560" w:lineRule="exact"/>
              <w:ind w:firstLine="480" w:firstLineChars="200"/>
              <w:rPr>
                <w:rFonts w:hint="eastAsia" w:ascii="仿宋_GB2312" w:hAnsi="仿宋" w:eastAsia="仿宋_GB2312"/>
                <w:sz w:val="24"/>
              </w:rPr>
            </w:pPr>
            <w:r>
              <w:rPr>
                <w:rFonts w:hint="eastAsia" w:ascii="仿宋_GB2312" w:hAnsi="仿宋" w:eastAsia="仿宋_GB2312"/>
                <w:sz w:val="24"/>
                <w:lang w:val="en-US" w:eastAsia="zh-CN"/>
              </w:rPr>
              <w:t xml:space="preserve">  </w:t>
            </w:r>
            <w:r>
              <w:rPr>
                <w:rFonts w:hint="eastAsia" w:ascii="仿宋_GB2312" w:hAnsi="仿宋" w:eastAsia="仿宋_GB2312"/>
                <w:sz w:val="24"/>
              </w:rPr>
              <w:t xml:space="preserve"> 年  </w:t>
            </w:r>
            <w:r>
              <w:rPr>
                <w:rFonts w:ascii="仿宋_GB2312" w:hAnsi="仿宋" w:eastAsia="仿宋_GB2312"/>
                <w:sz w:val="24"/>
              </w:rPr>
              <w:t xml:space="preserve"> </w:t>
            </w:r>
            <w:r>
              <w:rPr>
                <w:rFonts w:hint="eastAsia" w:ascii="仿宋_GB2312" w:hAnsi="仿宋" w:eastAsia="仿宋_GB2312"/>
                <w:sz w:val="24"/>
              </w:rPr>
              <w:t xml:space="preserve"> 月 </w:t>
            </w:r>
            <w:r>
              <w:rPr>
                <w:rFonts w:ascii="仿宋_GB2312" w:hAnsi="仿宋" w:eastAsia="仿宋_GB2312"/>
                <w:sz w:val="24"/>
              </w:rPr>
              <w:t xml:space="preserve"> </w:t>
            </w:r>
            <w:r>
              <w:rPr>
                <w:rFonts w:hint="eastAsia" w:ascii="仿宋_GB2312" w:hAnsi="仿宋" w:eastAsia="仿宋_GB2312"/>
                <w:sz w:val="24"/>
              </w:rPr>
              <w:t xml:space="preserve">   日</w:t>
            </w:r>
          </w:p>
        </w:tc>
      </w:tr>
    </w:tbl>
    <w:p w14:paraId="6567055C">
      <w:pPr>
        <w:pStyle w:val="4"/>
        <w:pageBreakBefore w:val="0"/>
        <w:wordWrap/>
        <w:topLinePunct w:val="0"/>
        <w:bidi w:val="0"/>
        <w:spacing w:beforeAutospacing="0" w:afterAutospacing="0" w:line="560" w:lineRule="exact"/>
        <w:ind w:left="0" w:leftChars="0"/>
        <w:rPr>
          <w:rFonts w:hint="eastAsia" w:ascii="仿宋_GB2312" w:hAnsi="仿宋" w:eastAsia="仿宋_GB2312"/>
          <w:sz w:val="24"/>
        </w:rPr>
      </w:pPr>
    </w:p>
    <w:p w14:paraId="2AC764DE">
      <w:pPr>
        <w:pStyle w:val="3"/>
        <w:pageBreakBefore w:val="0"/>
        <w:wordWrap/>
        <w:topLinePunct w:val="0"/>
        <w:bidi w:val="0"/>
        <w:spacing w:beforeAutospacing="0" w:afterAutospacing="0" w:line="560" w:lineRule="exact"/>
        <w:ind w:firstLine="0"/>
        <w:rPr>
          <w:rFonts w:hint="eastAsia" w:ascii="仿宋_GB2312" w:hAnsi="仿宋" w:eastAsia="仿宋_GB2312"/>
          <w:sz w:val="24"/>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77593">
    <w:pPr>
      <w:pStyle w:val="9"/>
      <w:jc w:val="center"/>
    </w:pPr>
    <w:r>
      <w:fldChar w:fldCharType="begin"/>
    </w:r>
    <w:r>
      <w:instrText xml:space="preserve">PAGE   \* MERGEFORMAT</w:instrText>
    </w:r>
    <w:r>
      <w:fldChar w:fldCharType="separate"/>
    </w:r>
    <w:r>
      <w:rPr>
        <w:lang w:val="zh-CN"/>
      </w:rPr>
      <w:t>6</w:t>
    </w:r>
    <w:r>
      <w:fldChar w:fldCharType="end"/>
    </w:r>
  </w:p>
  <w:p w14:paraId="50CDA77B">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DE8"/>
    <w:rsid w:val="000F16E8"/>
    <w:rsid w:val="001F3F30"/>
    <w:rsid w:val="002D0DE8"/>
    <w:rsid w:val="00380504"/>
    <w:rsid w:val="003A5C50"/>
    <w:rsid w:val="003E1CB4"/>
    <w:rsid w:val="00427562"/>
    <w:rsid w:val="004D31F0"/>
    <w:rsid w:val="004E269C"/>
    <w:rsid w:val="00517F9D"/>
    <w:rsid w:val="005642ED"/>
    <w:rsid w:val="0056724F"/>
    <w:rsid w:val="005B517E"/>
    <w:rsid w:val="005D0F58"/>
    <w:rsid w:val="00632914"/>
    <w:rsid w:val="006B3994"/>
    <w:rsid w:val="00866F21"/>
    <w:rsid w:val="0089041D"/>
    <w:rsid w:val="00894421"/>
    <w:rsid w:val="008F313D"/>
    <w:rsid w:val="00A5428B"/>
    <w:rsid w:val="00C73D64"/>
    <w:rsid w:val="00DB678B"/>
    <w:rsid w:val="00E27E80"/>
    <w:rsid w:val="00E85044"/>
    <w:rsid w:val="00EC0AC0"/>
    <w:rsid w:val="00EE2E7B"/>
    <w:rsid w:val="00F63B75"/>
    <w:rsid w:val="00F83483"/>
    <w:rsid w:val="09D46314"/>
    <w:rsid w:val="0EA675EC"/>
    <w:rsid w:val="23A56C8C"/>
    <w:rsid w:val="23FC7B0B"/>
    <w:rsid w:val="27D56FF1"/>
    <w:rsid w:val="2E054AED"/>
    <w:rsid w:val="30155C7D"/>
    <w:rsid w:val="44B30807"/>
    <w:rsid w:val="562F7C6B"/>
    <w:rsid w:val="600734E4"/>
    <w:rsid w:val="674D31A7"/>
    <w:rsid w:val="69894F6A"/>
    <w:rsid w:val="6CED41BB"/>
    <w:rsid w:val="6EFB0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style>
  <w:style w:type="paragraph" w:styleId="5">
    <w:name w:val="annotation text"/>
    <w:basedOn w:val="1"/>
    <w:link w:val="24"/>
    <w:qFormat/>
    <w:uiPriority w:val="0"/>
    <w:pPr>
      <w:jc w:val="left"/>
    </w:pPr>
  </w:style>
  <w:style w:type="paragraph" w:styleId="6">
    <w:name w:val="Body Text"/>
    <w:basedOn w:val="1"/>
    <w:next w:val="1"/>
    <w:qFormat/>
    <w:uiPriority w:val="99"/>
    <w:pPr>
      <w:spacing w:line="360" w:lineRule="auto"/>
    </w:pPr>
    <w:rPr>
      <w:rFonts w:ascii="Tahoma" w:hAnsi="Tahoma"/>
    </w:rPr>
  </w:style>
  <w:style w:type="paragraph" w:styleId="7">
    <w:name w:val="Plain Text"/>
    <w:basedOn w:val="1"/>
    <w:qFormat/>
    <w:uiPriority w:val="0"/>
    <w:rPr>
      <w:rFonts w:ascii="宋体" w:hAnsi="Courier New" w:cs="Courier New"/>
    </w:rPr>
  </w:style>
  <w:style w:type="paragraph" w:styleId="8">
    <w:name w:val="Balloon Text"/>
    <w:basedOn w:val="1"/>
    <w:link w:val="22"/>
    <w:qFormat/>
    <w:uiPriority w:val="0"/>
    <w:rPr>
      <w:sz w:val="18"/>
      <w:szCs w:val="18"/>
    </w:rPr>
  </w:style>
  <w:style w:type="paragraph" w:styleId="9">
    <w:name w:val="footer"/>
    <w:basedOn w:val="1"/>
    <w:link w:val="18"/>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2">
    <w:name w:val="annotation subject"/>
    <w:basedOn w:val="5"/>
    <w:next w:val="5"/>
    <w:link w:val="25"/>
    <w:semiHidden/>
    <w:unhideWhenUsed/>
    <w:qFormat/>
    <w:uiPriority w:val="99"/>
    <w:rPr>
      <w:b/>
      <w:b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qFormat/>
    <w:uiPriority w:val="99"/>
    <w:rPr>
      <w:sz w:val="21"/>
      <w:szCs w:val="21"/>
    </w:rPr>
  </w:style>
  <w:style w:type="paragraph" w:customStyle="1" w:styleId="17">
    <w:name w:val="修订1"/>
    <w:qFormat/>
    <w:uiPriority w:val="99"/>
    <w:rPr>
      <w:rFonts w:ascii="Times New Roman" w:hAnsi="Times New Roman" w:eastAsia="Arial Unicode MS" w:cs="Times New Roman"/>
      <w:kern w:val="2"/>
      <w:sz w:val="21"/>
      <w:szCs w:val="24"/>
      <w:lang w:val="en-US" w:eastAsia="zh-CN" w:bidi="ar-SA"/>
    </w:rPr>
  </w:style>
  <w:style w:type="character" w:customStyle="1" w:styleId="18">
    <w:name w:val="页脚 字符"/>
    <w:basedOn w:val="15"/>
    <w:link w:val="9"/>
    <w:qFormat/>
    <w:uiPriority w:val="99"/>
    <w:rPr>
      <w:rFonts w:ascii="Times New Roman" w:hAnsi="Times New Roman" w:eastAsia="Arial Unicode MS" w:cs="Times New Roman"/>
      <w:kern w:val="2"/>
      <w:sz w:val="18"/>
      <w:szCs w:val="24"/>
    </w:rPr>
  </w:style>
  <w:style w:type="paragraph" w:styleId="19">
    <w:name w:val="List Paragraph"/>
    <w:basedOn w:val="1"/>
    <w:qFormat/>
    <w:uiPriority w:val="99"/>
    <w:pPr>
      <w:ind w:firstLine="420" w:firstLineChars="200"/>
    </w:p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Table Text"/>
    <w:basedOn w:val="1"/>
    <w:qFormat/>
    <w:uiPriority w:val="0"/>
    <w:rPr>
      <w:rFonts w:ascii="Arial" w:hAnsi="Arial" w:eastAsia="Arial" w:cs="Arial"/>
      <w:szCs w:val="21"/>
      <w:lang w:eastAsia="en-US"/>
    </w:rPr>
  </w:style>
  <w:style w:type="character" w:customStyle="1" w:styleId="22">
    <w:name w:val="批注框文本 字符"/>
    <w:basedOn w:val="15"/>
    <w:link w:val="8"/>
    <w:qFormat/>
    <w:uiPriority w:val="0"/>
    <w:rPr>
      <w:rFonts w:ascii="Times New Roman" w:hAnsi="Times New Roman" w:eastAsia="Arial Unicode MS" w:cs="Times New Roman"/>
      <w:kern w:val="2"/>
      <w:sz w:val="18"/>
      <w:szCs w:val="18"/>
    </w:rPr>
  </w:style>
  <w:style w:type="paragraph" w:customStyle="1" w:styleId="23">
    <w:name w:val="Revision"/>
    <w:hidden/>
    <w:unhideWhenUsed/>
    <w:qFormat/>
    <w:uiPriority w:val="99"/>
    <w:rPr>
      <w:rFonts w:ascii="Times New Roman" w:hAnsi="Times New Roman" w:eastAsia="Arial Unicode MS" w:cs="Times New Roman"/>
      <w:kern w:val="2"/>
      <w:sz w:val="21"/>
      <w:szCs w:val="24"/>
      <w:lang w:val="en-US" w:eastAsia="zh-CN" w:bidi="ar-SA"/>
    </w:rPr>
  </w:style>
  <w:style w:type="character" w:customStyle="1" w:styleId="24">
    <w:name w:val="批注文字 字符"/>
    <w:basedOn w:val="15"/>
    <w:link w:val="5"/>
    <w:qFormat/>
    <w:uiPriority w:val="0"/>
    <w:rPr>
      <w:rFonts w:eastAsia="Arial Unicode MS"/>
      <w:kern w:val="2"/>
      <w:sz w:val="21"/>
      <w:szCs w:val="24"/>
    </w:rPr>
  </w:style>
  <w:style w:type="character" w:customStyle="1" w:styleId="25">
    <w:name w:val="批注主题 字符"/>
    <w:basedOn w:val="24"/>
    <w:link w:val="12"/>
    <w:semiHidden/>
    <w:qFormat/>
    <w:uiPriority w:val="99"/>
    <w:rPr>
      <w:rFonts w:eastAsia="Arial Unicode MS"/>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D5A93-DF33-463A-B013-C26CF2890DA3}">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9</Pages>
  <Words>3873</Words>
  <Characters>4053</Characters>
  <Lines>37</Lines>
  <Paragraphs>10</Paragraphs>
  <TotalTime>16</TotalTime>
  <ScaleCrop>false</ScaleCrop>
  <LinksUpToDate>false</LinksUpToDate>
  <CharactersWithSpaces>4215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2025-05-14T01:11:00Z</dcterms:created>
  <dc:creator>武树军</dc:creator>
  <cp:lastModifiedBy>vv</cp:lastModifiedBy>
  <cp:lastPrinted>2024-06-05T09:31:00Z</cp:lastPrinted>
  <dcterms:modified xsi:type="dcterms:W3CDTF">2026-04-27T08:25:52Z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a8b6c51f7fb44837b831018d7fa8a371_23</vt:lpwstr>
  </property>
  <property fmtid="{D5CDD505-2E9C-101B-9397-08002B2CF9AE}" pid="4" name="KSOTemplateDocerSaveRecord">
    <vt:lpwstr>eyJoZGlkIjoiNWZiMjQ5YjYxZTg3ZjlhYjJjMzg1M2QxODk2MTVmODUiLCJ1c2VySWQiOiI0MzQ4NjMyNzUifQ==</vt:lpwstr>
  </property>
</Properties>
</file>