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版本号：SXHT-(TP)2026060120260706002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热红联用仪采购项目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SXHT-(TP)20260601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热红联用仪采购项目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SXHT-(TP)20260601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热红联用仪采购项目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热红联用仪采购项目，具体详见竞争性谈判文件。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6、无重大违法记录声明：参加政府采购活动前3年内经营活动中没有重大违法记录声明；</w:t>
      </w:r>
    </w:p>
    <w:p>
      <w:pPr>
        <w:pStyle w:val="null3"/>
      </w:pPr>
      <w:r>
        <w:rPr>
          <w:rFonts w:ascii="仿宋_GB2312" w:hAnsi="仿宋_GB2312" w:cs="仿宋_GB2312" w:eastAsia="仿宋_GB2312"/>
        </w:rPr>
        <w:t>7、信誉要求：通过“信誉要求”网站（www.creditchina.gov.cn/）和“中国政府采购网”（http://www.ccgp.gov.cn/）查询投标主体未被列入失信被执行人、重大税收失信主体、政府采购严重违法失信行为记录名单；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8、承诺函：提供具有履行服务合同所必需的产品和专业技术能力的承诺；</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029-22832832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王寿宏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本采购包履约保证金为合同金额的0.5%</w:t>
            </w:r>
          </w:p>
          <w:p>
            <w:pPr>
              <w:pStyle w:val="null3"/>
            </w:pPr>
            <w:r>
              <w:rPr>
                <w:rFonts w:ascii="仿宋_GB2312" w:hAnsi="仿宋_GB2312" w:cs="仿宋_GB2312" w:eastAsia="仿宋_GB2312"/>
              </w:rPr>
              <w:t>说明：1.合同签订前，成交人须向采购人提交合同总价的0.5%作为履约保证金；2.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成交供应商应依据成交金额向采购代理机构交纳成交服务费，交费金额参照《招标代理服务收费管理暂行办法》（计价格（2002）1980号）附件规定的收费标准的90%收取。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陕西海堂项目管理咨询有限公司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联系人：王寿宏</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热红联用仪采购项目，具体详见竞争性谈判文件。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热红联用仪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标的名称：热红联用仪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一、招标项目简介：</w:t>
            </w:r>
          </w:p>
          <w:p>
            <w:pPr>
              <w:pStyle w:val="null3"/>
            </w:pPr>
            <w:r>
              <w:rPr>
                <w:rFonts w:ascii="仿宋_GB2312" w:hAnsi="仿宋_GB2312" w:cs="仿宋_GB2312" w:eastAsia="仿宋_GB2312"/>
                <w:sz w:val="24"/>
              </w:rPr>
              <w:t>油气组分微观结构、热演化行为、相态演变机理是剖析非常规油气流体成因、吸附解吸规律、高压相变机理，优化油气产能评价、储层改造方案、开发制度设计的核心基础参数，完善油气流体全维度表征体系的关键技术手段。近年来常规油气资源产能逐年递减，页岩油气、致密油气、深层超深层油气、高黏度稠油、含沥青质重质油气等非常规油气成为油气增储上产核心主体，此类油气流体组分复杂、重质组分富集、沥青质胶质含量高、温压敏感特性极强，兼具高温热裂解、高压相分离、组分吸附相变多重特征，仅依靠宏观</w:t>
            </w:r>
            <w:r>
              <w:rPr>
                <w:rFonts w:ascii="仿宋_GB2312" w:hAnsi="仿宋_GB2312" w:cs="仿宋_GB2312" w:eastAsia="仿宋_GB2312"/>
                <w:sz w:val="24"/>
              </w:rPr>
              <w:t>PVT物性测试，无法厘清流体微观官能团结构、热分解动力学、组分相变内在机理，制约非常规油气富集机理、提高采收率、流体配伍改性等纵深科研攻关，因此搭建适配深部极端工况的红外光谱仪和热分析联用表征平台，完善油气流体微观表征体系，科研必要性与紧迫性极为突出。</w:t>
            </w:r>
          </w:p>
          <w:p>
            <w:pPr>
              <w:pStyle w:val="null3"/>
            </w:pPr>
            <w:r>
              <w:rPr>
                <w:rFonts w:ascii="仿宋_GB2312" w:hAnsi="仿宋_GB2312" w:cs="仿宋_GB2312" w:eastAsia="仿宋_GB2312"/>
                <w:sz w:val="24"/>
              </w:rPr>
              <w:t>我校现有红外光谱单体设备、独立热分析仪器设备服役年限久、设备模块化程度低，无一体化高温高压联用传输模块，存在多项适配短板，无法适配当下非常规油气科研测试需求。一是工况适配能力不足，现有分体式设备最高耐受温度、承压阈值偏低，管路恒温控温精度差，无法模拟超深层储层高温、高压、密闭惰性地层工况，测试过程中油气轻质组分挥发、重质沥青质冷凝失真，难以还原地下原位热演化与组分相变过程；二是联动测试能力缺失，现有设备仅能单独完成红外官能团检测或单一热重测试，无法实现油气样品受热相变、质量损耗、热量变化、挥发组分官能团演变实时联动在线分析，无法精准研判稠油降黏裂解、页岩有机质生烃、油气沥青质沉积、混相驱组分反应核心机理；三是油气专项配套不完善，现有设备无油气专用耐高温防腐蚀样品池、高压密闭进样系统、油气特征光谱专属数据库，针对致密油微量有机质、稠油胶质沥青质、深部含硫油气流体的定性定量分析精度不足，干扰项剔除能力弱，测试数据重复性、匹配度无法满足油气地质、油气开发、油田化学方向课题结题、论文发表及项目攻关标准；四是设备兼容性较差，现有老旧仪器数据端口封闭，无法与校内现有高温高压</w:t>
            </w:r>
            <w:r>
              <w:rPr>
                <w:rFonts w:ascii="仿宋_GB2312" w:hAnsi="仿宋_GB2312" w:cs="仿宋_GB2312" w:eastAsia="仿宋_GB2312"/>
                <w:sz w:val="24"/>
              </w:rPr>
              <w:t>PVT测试系统数据互通联动，无法实现油气宏观相态物性+微观组分机理一体化耦合分析，油气藏数值模拟、开发效果预测数据链条断裂，极大限制了学校非常规油气勘探开发、深层油气流体机理、稠油化学改性、页岩储层流体赋存等省部级、国家级科研项目推进，学科科研支撑能力严重不足。</w:t>
            </w:r>
          </w:p>
          <w:p>
            <w:pPr>
              <w:pStyle w:val="null3"/>
            </w:pPr>
            <w:r>
              <w:rPr>
                <w:rFonts w:ascii="仿宋_GB2312" w:hAnsi="仿宋_GB2312" w:cs="仿宋_GB2312" w:eastAsia="仿宋_GB2312"/>
                <w:sz w:val="24"/>
              </w:rPr>
              <w:t>综上，为补齐我校油气流体微观表征设备短板，打通宏观高压物性测试与微观组分机理分析全流程测试链条，适配深地深海、致密页岩、高含沥青稠油、高温高压深层油气原位测试实验要求，满足非常规油气有机质热演化、流体组分结构识别、极端温压下相变机理、化学剂配伍改性、储层流体吸附解吸等常态化科研实验，赋能油气工程、地质资源与地质工程重点学科建设，亟需淘汰老旧分体式分析设备，购置一体化热红联用仪，完善油气流体全尺度、全工况、全流程实验检测平台，全方位支撑学校非常规油气领域科研创新、纵向课题申报及产学研项目合作工作。</w:t>
            </w:r>
          </w:p>
          <w:p>
            <w:pPr>
              <w:pStyle w:val="null3"/>
            </w:pPr>
            <w:r>
              <w:rPr>
                <w:rFonts w:ascii="仿宋_GB2312" w:hAnsi="仿宋_GB2312" w:cs="仿宋_GB2312" w:eastAsia="仿宋_GB2312"/>
                <w:sz w:val="24"/>
              </w:rPr>
              <w:t>二、采购项目概况</w:t>
            </w:r>
            <w:r>
              <w:rPr>
                <w:rFonts w:ascii="仿宋_GB2312" w:hAnsi="仿宋_GB2312" w:cs="仿宋_GB2312" w:eastAsia="仿宋_GB2312"/>
                <w:sz w:val="24"/>
              </w:rPr>
              <w:t>:</w:t>
            </w:r>
          </w:p>
          <w:p>
            <w:pPr>
              <w:pStyle w:val="null3"/>
            </w:pPr>
            <w:r>
              <w:rPr>
                <w:rFonts w:ascii="仿宋_GB2312" w:hAnsi="仿宋_GB2312" w:cs="仿宋_GB2312" w:eastAsia="仿宋_GB2312"/>
                <w:sz w:val="24"/>
              </w:rPr>
              <w:t>1、采购目的</w:t>
            </w:r>
          </w:p>
          <w:p>
            <w:pPr>
              <w:pStyle w:val="null3"/>
            </w:pPr>
            <w:r>
              <w:rPr>
                <w:rFonts w:ascii="仿宋_GB2312" w:hAnsi="仿宋_GB2312" w:cs="仿宋_GB2312" w:eastAsia="仿宋_GB2312"/>
                <w:sz w:val="24"/>
              </w:rPr>
              <w:t>搭建宏观相态物性</w:t>
            </w:r>
            <w:r>
              <w:rPr>
                <w:rFonts w:ascii="仿宋_GB2312" w:hAnsi="仿宋_GB2312" w:cs="仿宋_GB2312" w:eastAsia="仿宋_GB2312"/>
                <w:sz w:val="24"/>
              </w:rPr>
              <w:t>+ 微观组分机理一体化耦合分析平台，补齐油气微观官能团、热演化、沥青质相变、有机质生烃微观检测能力。满足非常规油气有机质热演化、流体组分识别、极端温压相变、油田化学改性、储层吸附解吸等实验需求，保障国家级、省部级油气相关课题、论文、项目科研数据精度具有重要作用。</w:t>
            </w:r>
          </w:p>
          <w:p>
            <w:pPr>
              <w:pStyle w:val="null3"/>
            </w:pPr>
            <w:r>
              <w:rPr>
                <w:rFonts w:ascii="仿宋_GB2312" w:hAnsi="仿宋_GB2312" w:cs="仿宋_GB2312" w:eastAsia="仿宋_GB2312"/>
                <w:sz w:val="24"/>
              </w:rPr>
              <w:t>2、装置功能</w:t>
            </w:r>
          </w:p>
          <w:p>
            <w:pPr>
              <w:pStyle w:val="null3"/>
            </w:pPr>
            <w:r>
              <w:rPr>
                <w:rFonts w:ascii="仿宋_GB2312" w:hAnsi="仿宋_GB2312" w:cs="仿宋_GB2312" w:eastAsia="仿宋_GB2312"/>
                <w:sz w:val="24"/>
              </w:rPr>
              <w:t>热红联用仪主要用于油气相变机理研判功能。监测不同温压条件下油气流体吸热放热、质量衰减、组分结构演变规律，判定沥青质絮凝析出温度、原油相转变临界点、有机质生烃起止温度，厘清非常规油气流体高温相变、吸附解吸、裂解变质内在机理。</w:t>
            </w:r>
          </w:p>
          <w:tbl>
            <w:tblPr>
              <w:tblBorders>
                <w:top w:val="none" w:color="000000" w:sz="4"/>
                <w:left w:val="none" w:color="000000" w:sz="4"/>
                <w:bottom w:val="none" w:color="000000" w:sz="4"/>
                <w:right w:val="none" w:color="000000" w:sz="4"/>
                <w:insideH w:val="none"/>
                <w:insideV w:val="none"/>
              </w:tblBorders>
            </w:tblPr>
            <w:tblGrid>
              <w:gridCol w:w="341"/>
              <w:gridCol w:w="341"/>
              <w:gridCol w:w="1871"/>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参数性质</w:t>
                  </w: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序号</w:t>
                  </w:r>
                </w:p>
              </w:tc>
              <w:tc>
                <w:tcPr>
                  <w:tcW w:type="dxa" w:w="1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技术参数与性能指标</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一、热重分析仪</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测温范围：室温～</w:t>
                  </w:r>
                  <w:r>
                    <w:rPr>
                      <w:rFonts w:ascii="仿宋_GB2312" w:hAnsi="仿宋_GB2312" w:cs="仿宋_GB2312" w:eastAsia="仿宋_GB2312"/>
                      <w:sz w:val="24"/>
                    </w:rPr>
                    <w:t>1100℃</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加热炉体：水平式结构，陶瓷炉体；</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温度准确度</w:t>
                  </w:r>
                  <w:r>
                    <w:rPr>
                      <w:rFonts w:ascii="仿宋_GB2312" w:hAnsi="仿宋_GB2312" w:cs="仿宋_GB2312" w:eastAsia="仿宋_GB2312"/>
                      <w:sz w:val="24"/>
                    </w:rPr>
                    <w:t>:士1°C</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升温速率</w:t>
                  </w:r>
                  <w:r>
                    <w:rPr>
                      <w:rFonts w:ascii="仿宋_GB2312" w:hAnsi="仿宋_GB2312" w:cs="仿宋_GB2312" w:eastAsia="仿宋_GB2312"/>
                      <w:sz w:val="24"/>
                    </w:rPr>
                    <w:t>:0.1°C~100°C/min</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炉体冷却方式：恒温循环水冷</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冷却时间</w:t>
                  </w:r>
                  <w:r>
                    <w:rPr>
                      <w:rFonts w:ascii="仿宋_GB2312" w:hAnsi="仿宋_GB2312" w:cs="仿宋_GB2312" w:eastAsia="仿宋_GB2312"/>
                      <w:sz w:val="24"/>
                    </w:rPr>
                    <w:t>:1100°C降至100°C≤20min</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天平功能：量程：</w:t>
                  </w:r>
                  <w:r>
                    <w:rPr>
                      <w:rFonts w:ascii="仿宋_GB2312" w:hAnsi="仿宋_GB2312" w:cs="仿宋_GB2312" w:eastAsia="仿宋_GB2312"/>
                      <w:sz w:val="24"/>
                    </w:rPr>
                    <w:t>0～1000mg；灵敏度：≤0.1µg；采用水平支架托盘、具有内置砝码自动校准功能；</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天平重复性：</w:t>
                  </w:r>
                  <w:r>
                    <w:rPr>
                      <w:rFonts w:ascii="仿宋_GB2312" w:hAnsi="仿宋_GB2312" w:cs="仿宋_GB2312" w:eastAsia="仿宋_GB2312"/>
                      <w:sz w:val="24"/>
                    </w:rPr>
                    <w:t>≤0.001mg(静态恒温状态)；天平称量准确度：≤0.005%；需提供佐证材料。</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TG曲线重复性：±10ug（升温状态，室温升至1100℃）需提供佐证材料。</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10</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TG样品支架：全氧化铝陶瓷水平支架；</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11</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实验气体：空气、氧气、氮气、氩气等，配备</w:t>
                  </w:r>
                  <w:r>
                    <w:rPr>
                      <w:rFonts w:ascii="仿宋_GB2312" w:hAnsi="仿宋_GB2312" w:cs="仿宋_GB2312" w:eastAsia="仿宋_GB2312"/>
                      <w:sz w:val="24"/>
                    </w:rPr>
                    <w:t>3个质量流量控制器，3路气体自由切换功能；炉体真空度：≤0.1mba</w:t>
                  </w:r>
                  <w:r>
                    <w:rPr>
                      <w:rFonts w:ascii="仿宋_GB2312" w:hAnsi="仿宋_GB2312" w:cs="仿宋_GB2312" w:eastAsia="仿宋_GB2312"/>
                      <w:sz w:val="24"/>
                    </w:rPr>
                    <w:t>r</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12</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仪器功能</w:t>
                  </w:r>
                  <w:r>
                    <w:rPr>
                      <w:rFonts w:ascii="仿宋_GB2312" w:hAnsi="仿宋_GB2312" w:cs="仿宋_GB2312" w:eastAsia="仿宋_GB2312"/>
                      <w:sz w:val="24"/>
                    </w:rPr>
                    <w:t>:具备自动修正称重误差功能,通过液晶触摸屏(≥7英寸)触摸控制炉体开关、天平去皮归零，实时显示仪器测量数据和状态，并可红外遥感控制开关操作等</w:t>
                  </w:r>
                  <w:r>
                    <w:rPr>
                      <w:rFonts w:ascii="仿宋_GB2312" w:hAnsi="仿宋_GB2312" w:cs="仿宋_GB2312" w:eastAsia="仿宋_GB2312"/>
                      <w:sz w:val="24"/>
                    </w:rPr>
                    <w: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13</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操作软件：中</w:t>
                  </w:r>
                  <w:r>
                    <w:rPr>
                      <w:rFonts w:ascii="仿宋_GB2312" w:hAnsi="仿宋_GB2312" w:cs="仿宋_GB2312" w:eastAsia="仿宋_GB2312"/>
                      <w:sz w:val="24"/>
                    </w:rPr>
                    <w:t>/英文专业操作软件，配置纯度分析软件、N级动力学分析软件功能等；TGA软件自动触发FTIR同步检测功能，FTIR测试曲线可导入TGA分析软件共同分析。</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14</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数据采集处理终端：双核</w:t>
                  </w:r>
                  <w:r>
                    <w:rPr>
                      <w:rFonts w:ascii="仿宋_GB2312" w:hAnsi="仿宋_GB2312" w:cs="仿宋_GB2312" w:eastAsia="仿宋_GB2312"/>
                      <w:sz w:val="24"/>
                    </w:rPr>
                    <w:t>CPU，≥32G内存，固态硬盘≥1TB，独立显卡，≥27英寸液晶显示器。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15</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热重分析仪货物配置（必须满足）：</w:t>
                  </w:r>
                </w:p>
                <w:p>
                  <w:pPr>
                    <w:pStyle w:val="null3"/>
                  </w:pPr>
                  <w:r>
                    <w:rPr>
                      <w:rFonts w:ascii="仿宋_GB2312" w:hAnsi="仿宋_GB2312" w:cs="仿宋_GB2312" w:eastAsia="仿宋_GB2312"/>
                      <w:sz w:val="24"/>
                    </w:rPr>
                    <w:t>1、TGA主机1台</w:t>
                  </w:r>
                </w:p>
                <w:p>
                  <w:pPr>
                    <w:pStyle w:val="null3"/>
                  </w:pPr>
                  <w:r>
                    <w:rPr>
                      <w:rFonts w:ascii="仿宋_GB2312" w:hAnsi="仿宋_GB2312" w:cs="仿宋_GB2312" w:eastAsia="仿宋_GB2312"/>
                      <w:sz w:val="24"/>
                    </w:rPr>
                    <w:t>2、操作软件1套</w:t>
                  </w:r>
                </w:p>
                <w:p>
                  <w:pPr>
                    <w:pStyle w:val="null3"/>
                  </w:pPr>
                  <w:r>
                    <w:rPr>
                      <w:rFonts w:ascii="仿宋_GB2312" w:hAnsi="仿宋_GB2312" w:cs="仿宋_GB2312" w:eastAsia="仿宋_GB2312"/>
                      <w:sz w:val="24"/>
                    </w:rPr>
                    <w:t>3、数据采集处理终端1套</w:t>
                  </w:r>
                </w:p>
                <w:p>
                  <w:pPr>
                    <w:pStyle w:val="null3"/>
                  </w:pPr>
                  <w:r>
                    <w:rPr>
                      <w:rFonts w:ascii="仿宋_GB2312" w:hAnsi="仿宋_GB2312" w:cs="仿宋_GB2312" w:eastAsia="仿宋_GB2312"/>
                      <w:sz w:val="24"/>
                    </w:rPr>
                    <w:t>4、随机操作工具盒（含镊子、加样漏斗、取样棒、钢刀等）</w:t>
                  </w:r>
                </w:p>
                <w:p>
                  <w:pPr>
                    <w:pStyle w:val="null3"/>
                  </w:pPr>
                  <w:r>
                    <w:rPr>
                      <w:rFonts w:ascii="仿宋_GB2312" w:hAnsi="仿宋_GB2312" w:cs="仿宋_GB2312" w:eastAsia="仿宋_GB2312"/>
                      <w:sz w:val="24"/>
                    </w:rPr>
                    <w:t>5、样品坩埚：随机70ul原装氧化铝坩埚：20个（带盖）；</w:t>
                  </w:r>
                </w:p>
                <w:p>
                  <w:pPr>
                    <w:pStyle w:val="null3"/>
                  </w:pPr>
                  <w:r>
                    <w:rPr>
                      <w:rFonts w:ascii="仿宋_GB2312" w:hAnsi="仿宋_GB2312" w:cs="仿宋_GB2312" w:eastAsia="仿宋_GB2312"/>
                      <w:sz w:val="24"/>
                    </w:rPr>
                    <w:t>6、TGA与FTIR联用法兰接口1件</w:t>
                  </w:r>
                </w:p>
                <w:p>
                  <w:pPr>
                    <w:pStyle w:val="null3"/>
                  </w:pPr>
                  <w:r>
                    <w:rPr>
                      <w:rFonts w:ascii="仿宋_GB2312" w:hAnsi="仿宋_GB2312" w:cs="仿宋_GB2312" w:eastAsia="仿宋_GB2312"/>
                      <w:sz w:val="24"/>
                    </w:rPr>
                    <w:t>7、恒温水浴槽：制冷功率≥260W，制热功率≥2000W，流速≥8L/min</w:t>
                  </w:r>
                </w:p>
                <w:p>
                  <w:pPr>
                    <w:pStyle w:val="null3"/>
                  </w:pPr>
                  <w:r>
                    <w:rPr>
                      <w:rFonts w:ascii="仿宋_GB2312" w:hAnsi="仿宋_GB2312" w:cs="仿宋_GB2312" w:eastAsia="仿宋_GB2312"/>
                      <w:sz w:val="24"/>
                    </w:rPr>
                    <w:t>8、备件：TGA样品支架1件</w:t>
                  </w:r>
                </w:p>
                <w:p>
                  <w:pPr>
                    <w:pStyle w:val="null3"/>
                  </w:pPr>
                  <w:r>
                    <w:rPr>
                      <w:rFonts w:ascii="仿宋_GB2312" w:hAnsi="仿宋_GB2312" w:cs="仿宋_GB2312" w:eastAsia="仿宋_GB2312"/>
                      <w:sz w:val="24"/>
                    </w:rPr>
                    <w:t>9、氧化铝坩埚：规格70ul，数量200套</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二、红外光谱仪包含主机、干涉仪、光源、激光器、检测器等</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1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干涉仪：自动准直频率</w:t>
                  </w:r>
                  <w:r>
                    <w:rPr>
                      <w:rFonts w:ascii="仿宋_GB2312" w:hAnsi="仿宋_GB2312" w:cs="仿宋_GB2312" w:eastAsia="仿宋_GB2312"/>
                      <w:sz w:val="24"/>
                    </w:rPr>
                    <w:t>≥100,000 次/ 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检测器：高性能中红外配置</w:t>
                  </w:r>
                  <w:r>
                    <w:rPr>
                      <w:rFonts w:ascii="仿宋_GB2312" w:hAnsi="仿宋_GB2312" w:cs="仿宋_GB2312" w:eastAsia="仿宋_GB2312"/>
                      <w:sz w:val="24"/>
                    </w:rPr>
                    <w:t>DLaTGS检测器、MCT液氮制冷检测器和ATR专用中远红外检测器</w:t>
                  </w:r>
                  <w:r>
                    <w:rPr>
                      <w:rFonts w:ascii="仿宋_GB2312" w:hAnsi="仿宋_GB2312" w:cs="仿宋_GB2312" w:eastAsia="仿宋_GB2312"/>
                      <w:sz w:val="24"/>
                    </w:rPr>
                    <w: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激光器：配置高精度</w:t>
                  </w:r>
                  <w:r>
                    <w:rPr>
                      <w:rFonts w:ascii="仿宋_GB2312" w:hAnsi="仿宋_GB2312" w:cs="仿宋_GB2312" w:eastAsia="仿宋_GB2312"/>
                      <w:sz w:val="24"/>
                    </w:rPr>
                    <w:t>632nmHe-Ne激光器用于仪器的校准，非半导体固态激光器（二极管激光器）</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仪器自动认证系统：配置包括标准样品的仪器性能自动认证检测轮，标准样品为</w:t>
                  </w:r>
                  <w:r>
                    <w:rPr>
                      <w:rFonts w:ascii="仿宋_GB2312" w:hAnsi="仿宋_GB2312" w:cs="仿宋_GB2312" w:eastAsia="仿宋_GB2312"/>
                      <w:sz w:val="24"/>
                    </w:rPr>
                    <w:t>NG-11玻璃片和可溯源的NIST 1.5mil(38 μm)聚苯乙烯膜。需提供佐证材料。</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光谱范围：</w:t>
                  </w:r>
                  <w:r>
                    <w:rPr>
                      <w:rFonts w:ascii="仿宋_GB2312" w:hAnsi="仿宋_GB2312" w:cs="仿宋_GB2312" w:eastAsia="仿宋_GB2312"/>
                      <w:sz w:val="24"/>
                    </w:rPr>
                    <w:t>350-8000 cm</w:t>
                  </w:r>
                  <w:r>
                    <w:rPr>
                      <w:rFonts w:ascii="仿宋_GB2312" w:hAnsi="仿宋_GB2312" w:cs="仿宋_GB2312" w:eastAsia="仿宋_GB2312"/>
                      <w:sz w:val="24"/>
                      <w:vertAlign w:val="superscript"/>
                    </w:rPr>
                    <w:t>-1</w:t>
                  </w:r>
                  <w:r>
                    <w:rPr>
                      <w:rFonts w:ascii="仿宋_GB2312" w:hAnsi="仿宋_GB2312" w:cs="仿宋_GB2312" w:eastAsia="仿宋_GB2312"/>
                      <w:sz w:val="24"/>
                    </w:rPr>
                    <w:t>，波数可扩展</w:t>
                  </w:r>
                  <w:r>
                    <w:rPr>
                      <w:rFonts w:ascii="仿宋_GB2312" w:hAnsi="仿宋_GB2312" w:cs="仿宋_GB2312" w:eastAsia="仿宋_GB2312"/>
                      <w:sz w:val="24"/>
                    </w:rPr>
                    <w:t>10-28000cm</w:t>
                  </w:r>
                  <w:r>
                    <w:rPr>
                      <w:rFonts w:ascii="仿宋_GB2312" w:hAnsi="仿宋_GB2312" w:cs="仿宋_GB2312" w:eastAsia="仿宋_GB2312"/>
                      <w:sz w:val="24"/>
                      <w:vertAlign w:val="superscript"/>
                    </w:rPr>
                    <w:t>-1</w:t>
                  </w:r>
                  <w:r>
                    <w:rPr>
                      <w:rFonts w:ascii="仿宋_GB2312" w:hAnsi="仿宋_GB2312" w:cs="仿宋_GB2312" w:eastAsia="仿宋_GB2312"/>
                      <w:sz w:val="24"/>
                    </w:rPr>
                    <w:t>，覆盖远红外、中红外、近红外全谱区测量范围。</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6</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光谱分辨率：</w:t>
                  </w:r>
                  <w:r>
                    <w:rPr>
                      <w:rFonts w:ascii="仿宋_GB2312" w:hAnsi="仿宋_GB2312" w:cs="仿宋_GB2312" w:eastAsia="仿宋_GB2312"/>
                      <w:sz w:val="24"/>
                    </w:rPr>
                    <w:t>≤0.</w:t>
                  </w:r>
                  <w:r>
                    <w:rPr>
                      <w:rFonts w:ascii="仿宋_GB2312" w:hAnsi="仿宋_GB2312" w:cs="仿宋_GB2312" w:eastAsia="仿宋_GB2312"/>
                      <w:sz w:val="24"/>
                    </w:rPr>
                    <w:t>2</w:t>
                  </w:r>
                  <w:r>
                    <w:rPr>
                      <w:rFonts w:ascii="仿宋_GB2312" w:hAnsi="仿宋_GB2312" w:cs="仿宋_GB2312" w:eastAsia="仿宋_GB2312"/>
                      <w:sz w:val="24"/>
                    </w:rPr>
                    <w:t>cm</w:t>
                  </w:r>
                  <w:r>
                    <w:rPr>
                      <w:rFonts w:ascii="仿宋_GB2312" w:hAnsi="仿宋_GB2312" w:cs="仿宋_GB2312" w:eastAsia="仿宋_GB2312"/>
                      <w:sz w:val="24"/>
                      <w:vertAlign w:val="superscript"/>
                    </w:rPr>
                    <w:t>-1</w:t>
                  </w:r>
                  <w:r>
                    <w:rPr>
                      <w:rFonts w:ascii="仿宋_GB2312" w:hAnsi="仿宋_GB2312" w:cs="仿宋_GB2312" w:eastAsia="仿宋_GB2312"/>
                      <w:sz w:val="24"/>
                    </w:rPr>
                    <w:t>，间隔连续可调</w:t>
                  </w:r>
                  <w:r>
                    <w:rPr>
                      <w:rFonts w:ascii="仿宋_GB2312" w:hAnsi="仿宋_GB2312" w:cs="仿宋_GB2312" w:eastAsia="仿宋_GB2312"/>
                      <w:sz w:val="24"/>
                    </w:rPr>
                    <w: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灵敏度（峰</w:t>
                  </w:r>
                  <w:r>
                    <w:rPr>
                      <w:rFonts w:ascii="仿宋_GB2312" w:hAnsi="仿宋_GB2312" w:cs="仿宋_GB2312" w:eastAsia="仿宋_GB2312"/>
                      <w:sz w:val="24"/>
                    </w:rPr>
                    <w:t>-峰值信噪比）：≥60,000:1(峰-峰值，1分钟测试，分辨率4cm</w:t>
                  </w:r>
                  <w:r>
                    <w:rPr>
                      <w:rFonts w:ascii="仿宋_GB2312" w:hAnsi="仿宋_GB2312" w:cs="仿宋_GB2312" w:eastAsia="仿宋_GB2312"/>
                      <w:sz w:val="24"/>
                      <w:vertAlign w:val="superscript"/>
                    </w:rPr>
                    <w:t>-1</w:t>
                  </w:r>
                  <w:r>
                    <w:rPr>
                      <w:rFonts w:ascii="仿宋_GB2312" w:hAnsi="仿宋_GB2312" w:cs="仿宋_GB2312" w:eastAsia="仿宋_GB2312"/>
                      <w:sz w:val="24"/>
                    </w:rPr>
                    <w:t>,DTGS检测器，@2100cm</w:t>
                  </w:r>
                  <w:r>
                    <w:rPr>
                      <w:rFonts w:ascii="仿宋_GB2312" w:hAnsi="仿宋_GB2312" w:cs="仿宋_GB2312" w:eastAsia="仿宋_GB2312"/>
                      <w:sz w:val="24"/>
                      <w:vertAlign w:val="superscript"/>
                    </w:rPr>
                    <w:t>-1</w:t>
                  </w:r>
                  <w:r>
                    <w:rPr>
                      <w:rFonts w:ascii="仿宋_GB2312" w:hAnsi="仿宋_GB2312" w:cs="仿宋_GB2312" w:eastAsia="仿宋_GB2312"/>
                      <w:sz w:val="24"/>
                    </w:rPr>
                    <w: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全光谱范围线性度：</w:t>
                  </w:r>
                  <w:r>
                    <w:rPr>
                      <w:rFonts w:ascii="仿宋_GB2312" w:hAnsi="仿宋_GB2312" w:cs="仿宋_GB2312" w:eastAsia="仿宋_GB2312"/>
                      <w:sz w:val="24"/>
                    </w:rPr>
                    <w:t>≤0.1%T (按ASTM1421标准方法测试)</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9</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快速扫描：</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0张光谱/秒</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10</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光阑精度</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档连续可变自动控制光阑</w:t>
                  </w:r>
                  <w:r>
                    <w:rPr>
                      <w:rFonts w:ascii="仿宋_GB2312" w:hAnsi="仿宋_GB2312" w:cs="仿宋_GB2312" w:eastAsia="仿宋_GB2312"/>
                      <w:sz w:val="24"/>
                    </w:rPr>
                    <w:t>。</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配置混合物光谱分离鉴别分析软件：软件可对</w:t>
                  </w:r>
                  <w:r>
                    <w:rPr>
                      <w:rFonts w:ascii="仿宋_GB2312" w:hAnsi="仿宋_GB2312" w:cs="仿宋_GB2312" w:eastAsia="仿宋_GB2312"/>
                      <w:sz w:val="24"/>
                    </w:rPr>
                    <w:t>8种混合物或污染物样品光谱自动分离鉴别其成分、给出不同组分相对含量比列。软件支持各种红外光谱格式，可连网检索光谱的化学结构。</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红外光谱库：提供原厂</w:t>
                  </w:r>
                  <w:r>
                    <w:rPr>
                      <w:rFonts w:ascii="仿宋_GB2312" w:hAnsi="仿宋_GB2312" w:cs="仿宋_GB2312" w:eastAsia="仿宋_GB2312"/>
                      <w:sz w:val="24"/>
                    </w:rPr>
                    <w:t>≥19万张高分辨图谱库，具有谱库检索和建库功能，提供无机，有机及高分子等红外光谱库。终身升级服务。需要提供承诺书。</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一体化衰减全反射金刚石晶体检测装置</w:t>
                  </w:r>
                  <w:r>
                    <w:rPr>
                      <w:rFonts w:ascii="仿宋_GB2312" w:hAnsi="仿宋_GB2312" w:cs="仿宋_GB2312" w:eastAsia="仿宋_GB2312"/>
                      <w:sz w:val="24"/>
                    </w:rPr>
                    <w:t>(ATR)：金刚石ATR晶体，≥0.41MPa高灵敏测样压力控制。ATR专用检测器≥100cm</w:t>
                  </w:r>
                  <w:r>
                    <w:rPr>
                      <w:rFonts w:ascii="仿宋_GB2312" w:hAnsi="仿宋_GB2312" w:cs="仿宋_GB2312" w:eastAsia="仿宋_GB2312"/>
                      <w:sz w:val="24"/>
                      <w:vertAlign w:val="superscript"/>
                    </w:rPr>
                    <w:t>-1</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热重与红外接口</w:t>
                  </w:r>
                  <w:r>
                    <w:rPr>
                      <w:rFonts w:ascii="仿宋_GB2312" w:hAnsi="仿宋_GB2312" w:cs="仿宋_GB2312" w:eastAsia="仿宋_GB2312"/>
                      <w:sz w:val="24"/>
                    </w:rPr>
                    <w:t>,配置混合气体自动分析软件：一步分析获得TGA-IR混合气的成分，同时给出每种气体随时间变化的趋势图；自动抽提分析出每个保留时间下的峰对应的气体组分信息。</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配置</w:t>
                  </w:r>
                </w:p>
                <w:p>
                  <w:pPr>
                    <w:pStyle w:val="null3"/>
                  </w:pPr>
                  <w:r>
                    <w:rPr>
                      <w:rFonts w:ascii="仿宋_GB2312" w:hAnsi="仿宋_GB2312" w:cs="仿宋_GB2312" w:eastAsia="仿宋_GB2312"/>
                      <w:sz w:val="24"/>
                    </w:rPr>
                    <w:t>1.高分辨红外光谱仪主机 1套</w:t>
                  </w:r>
                </w:p>
                <w:p>
                  <w:pPr>
                    <w:pStyle w:val="null3"/>
                  </w:pPr>
                  <w:r>
                    <w:rPr>
                      <w:rFonts w:ascii="仿宋_GB2312" w:hAnsi="仿宋_GB2312" w:cs="仿宋_GB2312" w:eastAsia="仿宋_GB2312"/>
                      <w:sz w:val="24"/>
                    </w:rPr>
                    <w:t>2.透射附件 1套</w:t>
                  </w:r>
                </w:p>
                <w:p>
                  <w:pPr>
                    <w:pStyle w:val="null3"/>
                  </w:pPr>
                  <w:r>
                    <w:rPr>
                      <w:rFonts w:ascii="仿宋_GB2312" w:hAnsi="仿宋_GB2312" w:cs="仿宋_GB2312" w:eastAsia="仿宋_GB2312"/>
                      <w:sz w:val="24"/>
                    </w:rPr>
                    <w:t>3.标准操作软件 1套</w:t>
                  </w:r>
                </w:p>
                <w:p>
                  <w:pPr>
                    <w:pStyle w:val="null3"/>
                  </w:pPr>
                  <w:r>
                    <w:rPr>
                      <w:rFonts w:ascii="仿宋_GB2312" w:hAnsi="仿宋_GB2312" w:cs="仿宋_GB2312" w:eastAsia="仿宋_GB2312"/>
                      <w:sz w:val="24"/>
                    </w:rPr>
                    <w:t>4.DLaTGS检测器 1套</w:t>
                  </w:r>
                </w:p>
                <w:p>
                  <w:pPr>
                    <w:pStyle w:val="null3"/>
                  </w:pPr>
                  <w:r>
                    <w:rPr>
                      <w:rFonts w:ascii="仿宋_GB2312" w:hAnsi="仿宋_GB2312" w:cs="仿宋_GB2312" w:eastAsia="仿宋_GB2312"/>
                      <w:sz w:val="24"/>
                    </w:rPr>
                    <w:t>5.MCT液氮制冷检测器 1套</w:t>
                  </w:r>
                </w:p>
                <w:p>
                  <w:pPr>
                    <w:pStyle w:val="null3"/>
                  </w:pPr>
                  <w:r>
                    <w:rPr>
                      <w:rFonts w:ascii="仿宋_GB2312" w:hAnsi="仿宋_GB2312" w:cs="仿宋_GB2312" w:eastAsia="仿宋_GB2312"/>
                      <w:sz w:val="24"/>
                    </w:rPr>
                    <w:t>6.ATR专用中远红外检测器 1套</w:t>
                  </w:r>
                </w:p>
                <w:p>
                  <w:pPr>
                    <w:pStyle w:val="null3"/>
                  </w:pPr>
                  <w:r>
                    <w:rPr>
                      <w:rFonts w:ascii="仿宋_GB2312" w:hAnsi="仿宋_GB2312" w:cs="仿宋_GB2312" w:eastAsia="仿宋_GB2312"/>
                      <w:sz w:val="24"/>
                    </w:rPr>
                    <w:t>7.一体式金刚石晶体ATR附件 1套</w:t>
                  </w:r>
                </w:p>
                <w:p>
                  <w:pPr>
                    <w:pStyle w:val="null3"/>
                  </w:pPr>
                  <w:r>
                    <w:rPr>
                      <w:rFonts w:ascii="仿宋_GB2312" w:hAnsi="仿宋_GB2312" w:cs="仿宋_GB2312" w:eastAsia="仿宋_GB2312"/>
                      <w:sz w:val="24"/>
                    </w:rPr>
                    <w:t>8.原厂图谱库 1套</w:t>
                  </w:r>
                </w:p>
                <w:p>
                  <w:pPr>
                    <w:pStyle w:val="null3"/>
                  </w:pPr>
                  <w:r>
                    <w:rPr>
                      <w:rFonts w:ascii="仿宋_GB2312" w:hAnsi="仿宋_GB2312" w:cs="仿宋_GB2312" w:eastAsia="仿宋_GB2312"/>
                      <w:sz w:val="24"/>
                    </w:rPr>
                    <w:t>9.热重与红外接口 1套</w:t>
                  </w:r>
                </w:p>
                <w:p>
                  <w:pPr>
                    <w:pStyle w:val="null3"/>
                  </w:pPr>
                  <w:r>
                    <w:rPr>
                      <w:rFonts w:ascii="仿宋_GB2312" w:hAnsi="仿宋_GB2312" w:cs="仿宋_GB2312" w:eastAsia="仿宋_GB2312"/>
                      <w:sz w:val="24"/>
                    </w:rPr>
                    <w:t>10.UPS不间断电源2KVA 1200W 持续供电≥3小时 1套</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以上所有指标不得负偏离</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备注</w:t>
                  </w:r>
                  <w:r>
                    <w:rPr>
                      <w:rFonts w:ascii="仿宋_GB2312" w:hAnsi="仿宋_GB2312" w:cs="仿宋_GB2312" w:eastAsia="仿宋_GB2312"/>
                      <w:sz w:val="24"/>
                    </w:rPr>
                    <w:t>2</w:t>
                  </w:r>
                </w:p>
              </w:tc>
              <w:tc>
                <w:tcPr>
                  <w:tcW w:type="dxa" w:w="1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要求提供佐证材料的需提供包括但不限于第三方证明、图片、彩页说明、产品说明书等材料。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交货时间为本合同生效后120天内到货并安装调试交付使用。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表述为准）合同签订后，供应商开具预付款等额银行保函，采购人收到银行保函正本后10个工作日内支付预付款，最多支付至160万元，剩余款项待验收合格后，并出具增值税专用发票，达到付款条件后10个工作日内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质期：自学校验收合格之日起1年，干涉仪，光源质保10年，激光器质保5年。售后服务效率要求：7*24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一年的免费保修,保修期自仪器验收签字之日起计算。保修期间维修及零件更换费用由厂家负担。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1.合同签订后，供应商开具预付款等额银行保函，采购人收到银行保函正本后10个工作日内支付预付款，最多支付至160万元，剩余款项待验收合格后，并出具增值税专用发票，达到付款条件后10个工作日内付清。 2..技术培训：在用户所在地对用户进行为期1周的培训。培训内容包括仪器的技术原理、操作、数据处理、基本维护等。验收后半年内组织买方相关人员2人参加举办的相关应用培训班 3.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因投标人原因（有且不限于型号有误、出具的净重、参数等证明有误问题）造成的一切后果及费用由投标人自行承担。 4.谈判保证金注意事项：1）谈判保证金缴纳截止时间：同响应文件递交截止时间一致。2）谈判保证金须从投标人户名支付，如从个人户名或非投标人户名支付，将被拒绝，视为自动放弃投标权利（该个人是投标人的情形除外）；以保函形式交纳谈判保证金的，投标人应在投标截止时间前将保函扫描成清晰的PDF文件，发送至邮箱shanxihaitang2018@163.com（邮件命名：项目编号）。保函必须由具有开具投标保函资格的单位开具；若供应商违约，开具保函单位承担连带责任。 5.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6.中标方须额外提供搬迁和安装调试一次，搬迁和安装调试过程中所产生的一切费用由中标方承担；搬迁和安装调试过程中仪器出现的一切故障和损坏由中标方负责维修修复。 7.在线客服：通过陕西省政府采购网-在线客服进行咨询 技术服务电话：029-96702 CA及签章服务：通过陕西省政府采购网-服务专区进行查询 8.请将采购代理服务费汇至下列指定账户： 户名：陕西海堂项目管理咨询有限公司 开户银行：中国银行股份有限公司西安雁塔路支行 账号：103675480567 9.供应商需要在线提交所有通过电子化交易平台实施的政府采购项目的响应文件，同时，线下提交响应文件正本壹份、副本贰套、电子版贰套（U盘标明供应商名称）。 线下提交响应文件地点：于谈判截止时间前。 线下提交响应文件地点：西安市雁塔区电子二路青松公寓二楼西第一会议室。 若电子响应文件与纸质响应文件不一致的，以电子响应文件为准；若正本和副本不符，以正本为准。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法定代表人.docx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通过“信誉要求”网站（www.creditchina.gov.cn/）和“中国政府采购网”（http://www.ccgp.gov.cn/）查询投标主体未被列入失信被执行人、重大税收失信主体、政府采购严重违法失信行为记录名单；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提供具有履行服务合同所必需的产品和专业技术能力的承诺；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在谈判过程中，谈判小组认为供应商名称与营业执照、资质证书不一致，谈判小组应当将其响应文件作为无效处理。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响应文件的语言、计量单位、报价货币是否满足谈判文件要求；</w:t>
            </w:r>
          </w:p>
        </w:tc>
        <w:tc>
          <w:tcPr>
            <w:tcW w:type="dxa" w:w="3322"/>
          </w:tcPr>
          <w:p>
            <w:pPr>
              <w:pStyle w:val="null3"/>
            </w:pPr>
            <w:r>
              <w:rPr>
                <w:rFonts w:ascii="仿宋_GB2312" w:hAnsi="仿宋_GB2312" w:cs="仿宋_GB2312" w:eastAsia="仿宋_GB2312"/>
              </w:rPr>
              <w:t>在谈判过程中，谈判小组认为响应文件的语言、计量单位、报价货币不满足谈判文件要求，谈判小组应当将其响应文件作为无效处理。</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谈判有效期是否达到谈判文件要求；</w:t>
            </w:r>
          </w:p>
        </w:tc>
        <w:tc>
          <w:tcPr>
            <w:tcW w:type="dxa" w:w="3322"/>
          </w:tcPr>
          <w:p>
            <w:pPr>
              <w:pStyle w:val="null3"/>
            </w:pPr>
            <w:r>
              <w:rPr>
                <w:rFonts w:ascii="仿宋_GB2312" w:hAnsi="仿宋_GB2312" w:cs="仿宋_GB2312" w:eastAsia="仿宋_GB2312"/>
              </w:rPr>
              <w:t>谈判有效期达不到谈判文件要求，谈判小组应当将其响应文件作为无效处理。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响应文件技术参数与性能指标达到竞争性谈判文件要求</w:t>
            </w:r>
          </w:p>
        </w:tc>
        <w:tc>
          <w:tcPr>
            <w:tcW w:type="dxa" w:w="1661"/>
          </w:tcPr>
          <w:p>
            <w:pPr>
              <w:pStyle w:val="null3"/>
            </w:pPr>
            <w:r>
              <w:rPr>
                <w:rFonts w:ascii="仿宋_GB2312" w:hAnsi="仿宋_GB2312" w:cs="仿宋_GB2312" w:eastAsia="仿宋_GB2312"/>
              </w:rPr>
              <w:t>响应文件封面 产品技术参数表 商务应答表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是否符合法律、法规和谈判文件中规定的其他实质性要求。</w:t>
            </w:r>
          </w:p>
        </w:tc>
        <w:tc>
          <w:tcPr>
            <w:tcW w:type="dxa" w:w="3322"/>
          </w:tcPr>
          <w:p>
            <w:pPr>
              <w:pStyle w:val="null3"/>
            </w:pPr>
            <w:r>
              <w:rPr>
                <w:rFonts w:ascii="仿宋_GB2312" w:hAnsi="仿宋_GB2312" w:cs="仿宋_GB2312" w:eastAsia="仿宋_GB2312"/>
              </w:rPr>
              <w:t>在谈判过程中，谈判小组认为响应文件不符合法律、法规和谈判文件中规定的其他实质性要求，谈判小组应当将其响应文件作为无效处理。</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