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4395F">
      <w:pPr>
        <w:jc w:val="center"/>
        <w:outlineLvl w:val="1"/>
        <w:rPr>
          <w:rFonts w:hint="eastAsia" w:ascii="宋体" w:hAnsi="宋体" w:eastAsia="宋体" w:cs="宋体"/>
          <w:color w:val="auto"/>
          <w:lang w:val="en-US" w:eastAsia="zh-Hans"/>
        </w:rPr>
      </w:pPr>
      <w:r>
        <w:rPr>
          <w:rFonts w:hint="eastAsia" w:ascii="宋体" w:hAnsi="宋体" w:eastAsia="宋体" w:cs="宋体"/>
          <w:b/>
          <w:color w:val="auto"/>
          <w:sz w:val="36"/>
          <w:lang w:val="en-US" w:eastAsia="zh-Hans"/>
        </w:rPr>
        <w:t>第八章 拟签订采购合同文本</w:t>
      </w:r>
    </w:p>
    <w:p w14:paraId="6817C9FB">
      <w:pPr>
        <w:spacing w:line="360" w:lineRule="auto"/>
        <w:jc w:val="center"/>
        <w:rPr>
          <w:rFonts w:hint="eastAsia" w:ascii="宋体" w:hAnsi="宋体" w:eastAsia="宋体" w:cs="宋体"/>
          <w:b/>
          <w:bCs/>
          <w:color w:val="auto"/>
          <w:kern w:val="44"/>
          <w:sz w:val="24"/>
          <w:highlight w:val="none"/>
          <w:lang w:eastAsia="zh-CN"/>
        </w:rPr>
      </w:pPr>
    </w:p>
    <w:p w14:paraId="25702684">
      <w:pPr>
        <w:spacing w:line="360" w:lineRule="auto"/>
        <w:jc w:val="center"/>
        <w:rPr>
          <w:rFonts w:hint="eastAsia" w:ascii="宋体" w:hAnsi="宋体" w:eastAsia="宋体" w:cs="宋体"/>
          <w:b/>
          <w:bCs/>
          <w:color w:val="auto"/>
          <w:kern w:val="44"/>
          <w:sz w:val="24"/>
          <w:highlight w:val="none"/>
          <w:lang w:eastAsia="zh-CN"/>
        </w:rPr>
      </w:pPr>
      <w:r>
        <w:rPr>
          <w:rFonts w:hint="eastAsia" w:ascii="宋体" w:hAnsi="宋体" w:eastAsia="宋体" w:cs="宋体"/>
          <w:b/>
          <w:bCs/>
          <w:color w:val="auto"/>
          <w:kern w:val="44"/>
          <w:sz w:val="24"/>
          <w:highlight w:val="none"/>
          <w:lang w:eastAsia="zh-CN"/>
        </w:rPr>
        <w:t>（本合同仅供参考，以实际签订合同为准）</w:t>
      </w:r>
    </w:p>
    <w:p w14:paraId="5297B2E6">
      <w:pPr>
        <w:spacing w:line="360" w:lineRule="auto"/>
        <w:jc w:val="right"/>
        <w:rPr>
          <w:rFonts w:hint="eastAsia" w:ascii="宋体" w:hAnsi="宋体" w:eastAsia="宋体" w:cs="宋体"/>
          <w:b/>
          <w:bCs/>
          <w:color w:val="auto"/>
          <w:kern w:val="44"/>
          <w:sz w:val="24"/>
          <w:highlight w:val="none"/>
          <w:lang w:eastAsia="zh-CN"/>
        </w:rPr>
      </w:pPr>
    </w:p>
    <w:p w14:paraId="1E9E76CF">
      <w:pPr>
        <w:spacing w:line="360" w:lineRule="auto"/>
        <w:jc w:val="center"/>
        <w:rPr>
          <w:rFonts w:hint="eastAsia" w:ascii="宋体" w:hAnsi="宋体" w:eastAsia="宋体" w:cs="宋体"/>
          <w:b/>
          <w:bCs/>
          <w:color w:val="auto"/>
          <w:kern w:val="44"/>
          <w:sz w:val="24"/>
          <w:highlight w:val="none"/>
          <w:lang w:eastAsia="zh-CN"/>
        </w:rPr>
      </w:pPr>
    </w:p>
    <w:p w14:paraId="08742DAE">
      <w:pPr>
        <w:keepNext/>
        <w:keepLines/>
        <w:widowControl w:val="0"/>
        <w:spacing w:before="280" w:beforeLines="0" w:beforeAutospacing="0" w:after="290" w:afterLines="0" w:afterAutospacing="0" w:line="372" w:lineRule="auto"/>
        <w:jc w:val="center"/>
        <w:outlineLvl w:val="3"/>
        <w:rPr>
          <w:rFonts w:hint="eastAsia" w:ascii="Arial" w:hAnsi="Arial" w:eastAsia="宋体" w:cs="Times New Roman"/>
          <w:b/>
          <w:color w:val="auto"/>
          <w:kern w:val="2"/>
          <w:sz w:val="32"/>
          <w:szCs w:val="24"/>
          <w:lang w:val="en-US" w:eastAsia="zh-CN" w:bidi="ar-SA"/>
        </w:rPr>
      </w:pPr>
    </w:p>
    <w:p w14:paraId="6A57A594">
      <w:pPr>
        <w:spacing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4"/>
          <w:szCs w:val="44"/>
          <w:highlight w:val="none"/>
          <w:lang w:eastAsia="zh-CN"/>
        </w:rPr>
        <w:t>热红联用仪采购项目</w:t>
      </w:r>
    </w:p>
    <w:p w14:paraId="674A8C98">
      <w:pPr>
        <w:spacing w:line="360" w:lineRule="auto"/>
        <w:jc w:val="center"/>
        <w:rPr>
          <w:rFonts w:hint="eastAsia" w:ascii="宋体" w:hAnsi="宋体" w:eastAsia="宋体" w:cs="宋体"/>
          <w:b/>
          <w:color w:val="auto"/>
          <w:sz w:val="44"/>
          <w:szCs w:val="44"/>
          <w:highlight w:val="none"/>
          <w:lang w:eastAsia="zh-CN"/>
        </w:rPr>
      </w:pPr>
    </w:p>
    <w:p w14:paraId="2BEB0F16">
      <w:pPr>
        <w:spacing w:line="360" w:lineRule="auto"/>
        <w:ind w:firstLine="964" w:firstLineChars="300"/>
        <w:jc w:val="center"/>
        <w:rPr>
          <w:rFonts w:hint="eastAsia" w:ascii="宋体" w:hAnsi="宋体" w:eastAsia="宋体" w:cs="宋体"/>
          <w:b/>
          <w:color w:val="auto"/>
          <w:sz w:val="32"/>
          <w:szCs w:val="32"/>
          <w:highlight w:val="none"/>
          <w:lang w:eastAsia="zh-CN"/>
        </w:rPr>
      </w:pPr>
    </w:p>
    <w:p w14:paraId="740DB395">
      <w:pPr>
        <w:spacing w:line="360" w:lineRule="auto"/>
        <w:ind w:firstLine="964" w:firstLineChars="300"/>
        <w:jc w:val="center"/>
        <w:rPr>
          <w:rFonts w:hint="eastAsia" w:ascii="宋体" w:hAnsi="宋体" w:eastAsia="宋体" w:cs="宋体"/>
          <w:b/>
          <w:color w:val="auto"/>
          <w:sz w:val="32"/>
          <w:szCs w:val="32"/>
          <w:highlight w:val="none"/>
          <w:lang w:eastAsia="zh-CN"/>
        </w:rPr>
      </w:pPr>
    </w:p>
    <w:p w14:paraId="6A2DE10D">
      <w:pPr>
        <w:spacing w:line="360" w:lineRule="auto"/>
        <w:jc w:val="center"/>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合同编号：</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lang w:eastAsia="zh-CN"/>
        </w:rPr>
        <w:t>SXHT-(TP)20260601</w:t>
      </w:r>
    </w:p>
    <w:p w14:paraId="39C4205C">
      <w:pPr>
        <w:spacing w:line="360" w:lineRule="auto"/>
        <w:rPr>
          <w:rFonts w:hint="eastAsia" w:ascii="宋体" w:hAnsi="宋体" w:eastAsia="宋体" w:cs="宋体"/>
          <w:color w:val="auto"/>
          <w:sz w:val="24"/>
          <w:highlight w:val="none"/>
          <w:lang w:eastAsia="zh-CN"/>
        </w:rPr>
      </w:pPr>
    </w:p>
    <w:p w14:paraId="0C569105">
      <w:pPr>
        <w:spacing w:line="360" w:lineRule="auto"/>
        <w:jc w:val="center"/>
        <w:rPr>
          <w:rFonts w:hint="eastAsia" w:ascii="宋体" w:hAnsi="宋体" w:eastAsia="宋体" w:cs="宋体"/>
          <w:b/>
          <w:color w:val="auto"/>
          <w:sz w:val="36"/>
          <w:szCs w:val="36"/>
          <w:highlight w:val="none"/>
          <w:lang w:eastAsia="zh-CN"/>
        </w:rPr>
      </w:pPr>
    </w:p>
    <w:p w14:paraId="3E66DF40">
      <w:pPr>
        <w:rPr>
          <w:rFonts w:hint="eastAsia" w:ascii="宋体" w:hAnsi="宋体" w:eastAsia="宋体" w:cs="宋体"/>
          <w:b/>
          <w:color w:val="auto"/>
          <w:sz w:val="36"/>
          <w:szCs w:val="36"/>
          <w:highlight w:val="none"/>
          <w:lang w:eastAsia="zh-CN"/>
        </w:rPr>
      </w:pPr>
    </w:p>
    <w:p w14:paraId="1BDF2A3E">
      <w:pPr>
        <w:widowControl w:val="0"/>
        <w:jc w:val="both"/>
        <w:rPr>
          <w:rFonts w:hint="eastAsia" w:ascii="宋体" w:hAnsi="宋体" w:eastAsia="宋体" w:cs="宋体"/>
          <w:color w:val="auto"/>
          <w:kern w:val="2"/>
          <w:sz w:val="24"/>
          <w:szCs w:val="24"/>
          <w:highlight w:val="none"/>
          <w:lang w:val="en-US" w:eastAsia="zh-CN" w:bidi="ar-SA"/>
        </w:rPr>
      </w:pPr>
    </w:p>
    <w:p w14:paraId="5C735A6C">
      <w:pPr>
        <w:spacing w:line="360" w:lineRule="auto"/>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合同书</w:t>
      </w:r>
    </w:p>
    <w:p w14:paraId="7AC81D62">
      <w:pPr>
        <w:spacing w:line="360" w:lineRule="auto"/>
        <w:rPr>
          <w:rFonts w:hint="eastAsia" w:ascii="宋体" w:hAnsi="宋体" w:eastAsia="宋体" w:cs="宋体"/>
          <w:color w:val="auto"/>
          <w:sz w:val="24"/>
          <w:highlight w:val="none"/>
          <w:lang w:eastAsia="zh-CN"/>
        </w:rPr>
      </w:pPr>
    </w:p>
    <w:p w14:paraId="18993003">
      <w:pPr>
        <w:keepNext/>
        <w:keepLines/>
        <w:widowControl w:val="0"/>
        <w:spacing w:before="280" w:beforeLines="0" w:beforeAutospacing="0" w:after="290" w:afterLines="0" w:afterAutospacing="0" w:line="372" w:lineRule="auto"/>
        <w:jc w:val="both"/>
        <w:outlineLvl w:val="3"/>
        <w:rPr>
          <w:rFonts w:hint="eastAsia" w:ascii="宋体" w:hAnsi="宋体" w:eastAsia="宋体" w:cs="宋体"/>
          <w:b/>
          <w:color w:val="auto"/>
          <w:kern w:val="2"/>
          <w:sz w:val="32"/>
          <w:szCs w:val="24"/>
          <w:highlight w:val="none"/>
          <w:lang w:val="en-US" w:eastAsia="zh-CN" w:bidi="ar-SA"/>
        </w:rPr>
      </w:pPr>
    </w:p>
    <w:p w14:paraId="0E5187EC">
      <w:pPr>
        <w:spacing w:line="360" w:lineRule="auto"/>
        <w:rPr>
          <w:rFonts w:hint="eastAsia" w:ascii="宋体" w:hAnsi="宋体" w:eastAsia="宋体" w:cs="宋体"/>
          <w:color w:val="auto"/>
          <w:sz w:val="28"/>
          <w:szCs w:val="28"/>
          <w:highlight w:val="none"/>
          <w:lang w:eastAsia="zh-CN"/>
        </w:rPr>
      </w:pPr>
    </w:p>
    <w:p w14:paraId="33BA6844">
      <w:pPr>
        <w:spacing w:line="360" w:lineRule="auto"/>
        <w:ind w:firstLine="1687" w:firstLineChars="600"/>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b/>
          <w:bCs/>
          <w:color w:val="auto"/>
          <w:sz w:val="28"/>
          <w:szCs w:val="28"/>
          <w:highlight w:val="none"/>
          <w:u w:val="single"/>
          <w:lang w:val="en-US" w:eastAsia="zh-CN"/>
        </w:rPr>
        <w:t xml:space="preserve">                        </w:t>
      </w:r>
    </w:p>
    <w:p w14:paraId="23D28947">
      <w:pPr>
        <w:spacing w:line="360" w:lineRule="auto"/>
        <w:ind w:firstLine="1687" w:firstLineChars="6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lang w:val="en-US" w:eastAsia="zh-CN"/>
        </w:rPr>
        <w:t xml:space="preserve"> </w:t>
      </w:r>
    </w:p>
    <w:p w14:paraId="0FECBAE1">
      <w:pPr>
        <w:spacing w:line="360" w:lineRule="auto"/>
        <w:ind w:firstLine="1687" w:firstLineChars="600"/>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b/>
          <w:bCs/>
          <w:color w:val="auto"/>
          <w:sz w:val="28"/>
          <w:szCs w:val="28"/>
          <w:highlight w:val="none"/>
          <w:u w:val="single"/>
          <w:lang w:val="en-US" w:eastAsia="zh-CN"/>
        </w:rPr>
        <w:t xml:space="preserve">                              </w:t>
      </w:r>
    </w:p>
    <w:p w14:paraId="55AD7E2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根据《中华人民共和国政府采购法》、《中华人民共和国民法典》及有关法律规定，遵循平等、自愿、公平和诚实信用的原则，西安石油大学（甲方）与××××公司（乙方）就西安石油大学热红联用仪采购项目（项目编号：</w:t>
      </w:r>
      <w:r>
        <w:rPr>
          <w:rFonts w:hint="eastAsia" w:ascii="宋体" w:hAnsi="宋体" w:eastAsia="宋体" w:cs="宋体"/>
          <w:color w:val="auto"/>
          <w:kern w:val="2"/>
          <w:sz w:val="24"/>
          <w:szCs w:val="24"/>
          <w:u w:val="single"/>
          <w:lang w:val="en-US" w:eastAsia="zh-CN" w:bidi="ar"/>
        </w:rPr>
        <w:t>SXHT-(TP)20260601</w:t>
      </w:r>
      <w:r>
        <w:rPr>
          <w:rFonts w:hint="eastAsia" w:ascii="宋体" w:hAnsi="宋体" w:eastAsia="宋体" w:cs="宋体"/>
          <w:color w:val="auto"/>
          <w:kern w:val="2"/>
          <w:sz w:val="24"/>
          <w:szCs w:val="24"/>
          <w:lang w:val="en-US" w:eastAsia="zh-CN" w:bidi="ar"/>
        </w:rPr>
        <w:t>）经双方协商达成如下合同条款：</w:t>
      </w:r>
    </w:p>
    <w:p w14:paraId="40175927">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val="0"/>
          <w:color w:val="auto"/>
          <w:kern w:val="2"/>
          <w:sz w:val="24"/>
          <w:szCs w:val="24"/>
          <w:lang w:val="en-US" w:eastAsia="zh-CN" w:bidi="ar"/>
        </w:rPr>
        <w:t>一.合同内容</w:t>
      </w:r>
      <w:r>
        <w:rPr>
          <w:rFonts w:hint="eastAsia" w:ascii="宋体" w:hAnsi="宋体" w:eastAsia="宋体" w:cs="宋体"/>
          <w:color w:val="auto"/>
          <w:sz w:val="24"/>
          <w:szCs w:val="24"/>
          <w:highlight w:val="none"/>
        </w:rPr>
        <w:t>1、购置清单</w:t>
      </w:r>
    </w:p>
    <w:tbl>
      <w:tblPr>
        <w:tblStyle w:val="4"/>
        <w:tblW w:w="9376" w:type="dxa"/>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895"/>
        <w:gridCol w:w="1727"/>
        <w:gridCol w:w="1609"/>
        <w:gridCol w:w="905"/>
        <w:gridCol w:w="782"/>
        <w:gridCol w:w="1229"/>
        <w:gridCol w:w="1229"/>
      </w:tblGrid>
      <w:tr w14:paraId="5A5B13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0" w:hRule="atLeast"/>
        </w:trPr>
        <w:tc>
          <w:tcPr>
            <w:tcW w:w="1895" w:type="dxa"/>
            <w:tcBorders>
              <w:top w:val="single" w:color="auto" w:sz="4" w:space="0"/>
              <w:left w:val="single" w:color="auto" w:sz="4" w:space="0"/>
              <w:bottom w:val="single" w:color="auto" w:sz="4" w:space="0"/>
              <w:right w:val="single" w:color="auto" w:sz="4" w:space="0"/>
            </w:tcBorders>
            <w:vAlign w:val="center"/>
          </w:tcPr>
          <w:p w14:paraId="20F0D71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727" w:type="dxa"/>
            <w:tcBorders>
              <w:top w:val="single" w:color="auto" w:sz="4" w:space="0"/>
              <w:left w:val="nil"/>
              <w:bottom w:val="single" w:color="auto" w:sz="4" w:space="0"/>
              <w:right w:val="single" w:color="auto" w:sz="4" w:space="0"/>
            </w:tcBorders>
            <w:vAlign w:val="center"/>
          </w:tcPr>
          <w:p w14:paraId="4E8F41A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型号与规格</w:t>
            </w:r>
          </w:p>
        </w:tc>
        <w:tc>
          <w:tcPr>
            <w:tcW w:w="1609" w:type="dxa"/>
            <w:tcBorders>
              <w:top w:val="single" w:color="auto" w:sz="4" w:space="0"/>
              <w:left w:val="nil"/>
              <w:bottom w:val="single" w:color="auto" w:sz="4" w:space="0"/>
              <w:right w:val="single" w:color="auto" w:sz="4" w:space="0"/>
            </w:tcBorders>
            <w:vAlign w:val="center"/>
          </w:tcPr>
          <w:p w14:paraId="29D7778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生产商、产地</w:t>
            </w:r>
          </w:p>
        </w:tc>
        <w:tc>
          <w:tcPr>
            <w:tcW w:w="905" w:type="dxa"/>
            <w:tcBorders>
              <w:top w:val="single" w:color="auto" w:sz="4" w:space="0"/>
              <w:left w:val="nil"/>
              <w:bottom w:val="single" w:color="auto" w:sz="4" w:space="0"/>
              <w:right w:val="single" w:color="auto" w:sz="4" w:space="0"/>
            </w:tcBorders>
            <w:vAlign w:val="center"/>
          </w:tcPr>
          <w:p w14:paraId="33762DD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782" w:type="dxa"/>
            <w:tcBorders>
              <w:top w:val="single" w:color="auto" w:sz="4" w:space="0"/>
              <w:left w:val="nil"/>
              <w:bottom w:val="single" w:color="auto" w:sz="4" w:space="0"/>
              <w:right w:val="single" w:color="auto" w:sz="4" w:space="0"/>
            </w:tcBorders>
            <w:vAlign w:val="center"/>
          </w:tcPr>
          <w:p w14:paraId="074EBCD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229" w:type="dxa"/>
            <w:tcBorders>
              <w:top w:val="single" w:color="auto" w:sz="4" w:space="0"/>
              <w:left w:val="nil"/>
              <w:bottom w:val="single" w:color="auto" w:sz="4" w:space="0"/>
              <w:right w:val="single" w:color="auto" w:sz="4" w:space="0"/>
            </w:tcBorders>
            <w:vAlign w:val="center"/>
          </w:tcPr>
          <w:p w14:paraId="3B8E998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1229" w:type="dxa"/>
            <w:tcBorders>
              <w:top w:val="single" w:color="auto" w:sz="4" w:space="0"/>
              <w:left w:val="nil"/>
              <w:bottom w:val="single" w:color="auto" w:sz="4" w:space="0"/>
              <w:right w:val="single" w:color="auto" w:sz="4" w:space="0"/>
            </w:tcBorders>
            <w:vAlign w:val="center"/>
          </w:tcPr>
          <w:p w14:paraId="6EBC4B0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总价（元）</w:t>
            </w:r>
          </w:p>
        </w:tc>
      </w:tr>
      <w:tr w14:paraId="299FD8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52" w:hRule="atLeast"/>
        </w:trPr>
        <w:tc>
          <w:tcPr>
            <w:tcW w:w="1895" w:type="dxa"/>
            <w:tcBorders>
              <w:top w:val="single" w:color="auto" w:sz="4" w:space="0"/>
              <w:left w:val="single" w:color="auto" w:sz="4" w:space="0"/>
              <w:bottom w:val="single" w:color="auto" w:sz="4" w:space="0"/>
              <w:right w:val="single" w:color="auto" w:sz="4" w:space="0"/>
            </w:tcBorders>
          </w:tcPr>
          <w:p w14:paraId="3B601C9B">
            <w:pPr>
              <w:spacing w:line="360" w:lineRule="auto"/>
              <w:rPr>
                <w:rFonts w:hint="eastAsia" w:ascii="宋体" w:hAnsi="宋体" w:eastAsia="宋体" w:cs="宋体"/>
                <w:color w:val="auto"/>
                <w:sz w:val="24"/>
                <w:szCs w:val="24"/>
                <w:highlight w:val="none"/>
              </w:rPr>
            </w:pPr>
          </w:p>
        </w:tc>
        <w:tc>
          <w:tcPr>
            <w:tcW w:w="1727" w:type="dxa"/>
            <w:tcBorders>
              <w:top w:val="single" w:color="auto" w:sz="4" w:space="0"/>
              <w:left w:val="nil"/>
              <w:bottom w:val="single" w:color="auto" w:sz="4" w:space="0"/>
              <w:right w:val="single" w:color="auto" w:sz="4" w:space="0"/>
            </w:tcBorders>
          </w:tcPr>
          <w:p w14:paraId="3EC3753D">
            <w:pPr>
              <w:spacing w:line="360" w:lineRule="auto"/>
              <w:rPr>
                <w:rFonts w:hint="eastAsia" w:ascii="宋体" w:hAnsi="宋体" w:eastAsia="宋体" w:cs="宋体"/>
                <w:color w:val="auto"/>
                <w:sz w:val="24"/>
                <w:szCs w:val="24"/>
                <w:highlight w:val="none"/>
              </w:rPr>
            </w:pPr>
          </w:p>
        </w:tc>
        <w:tc>
          <w:tcPr>
            <w:tcW w:w="1609" w:type="dxa"/>
            <w:tcBorders>
              <w:top w:val="single" w:color="auto" w:sz="4" w:space="0"/>
              <w:left w:val="nil"/>
              <w:bottom w:val="single" w:color="auto" w:sz="4" w:space="0"/>
              <w:right w:val="single" w:color="auto" w:sz="4" w:space="0"/>
            </w:tcBorders>
          </w:tcPr>
          <w:p w14:paraId="5FA7184F">
            <w:pPr>
              <w:spacing w:line="360" w:lineRule="auto"/>
              <w:rPr>
                <w:rFonts w:hint="eastAsia" w:ascii="宋体" w:hAnsi="宋体" w:eastAsia="宋体" w:cs="宋体"/>
                <w:color w:val="auto"/>
                <w:sz w:val="24"/>
                <w:szCs w:val="24"/>
                <w:highlight w:val="none"/>
              </w:rPr>
            </w:pPr>
          </w:p>
        </w:tc>
        <w:tc>
          <w:tcPr>
            <w:tcW w:w="905" w:type="dxa"/>
            <w:tcBorders>
              <w:top w:val="single" w:color="auto" w:sz="4" w:space="0"/>
              <w:left w:val="nil"/>
              <w:bottom w:val="single" w:color="auto" w:sz="4" w:space="0"/>
              <w:right w:val="single" w:color="auto" w:sz="4" w:space="0"/>
            </w:tcBorders>
          </w:tcPr>
          <w:p w14:paraId="41204291">
            <w:pPr>
              <w:spacing w:line="360" w:lineRule="auto"/>
              <w:rPr>
                <w:rFonts w:hint="eastAsia" w:ascii="宋体" w:hAnsi="宋体" w:eastAsia="宋体" w:cs="宋体"/>
                <w:color w:val="auto"/>
                <w:sz w:val="24"/>
                <w:szCs w:val="24"/>
                <w:highlight w:val="none"/>
              </w:rPr>
            </w:pPr>
          </w:p>
        </w:tc>
        <w:tc>
          <w:tcPr>
            <w:tcW w:w="782" w:type="dxa"/>
            <w:tcBorders>
              <w:top w:val="single" w:color="auto" w:sz="4" w:space="0"/>
              <w:left w:val="nil"/>
              <w:bottom w:val="single" w:color="auto" w:sz="4" w:space="0"/>
              <w:right w:val="single" w:color="auto" w:sz="4" w:space="0"/>
            </w:tcBorders>
          </w:tcPr>
          <w:p w14:paraId="480618E7">
            <w:pPr>
              <w:spacing w:line="360" w:lineRule="auto"/>
              <w:rPr>
                <w:rFonts w:hint="eastAsia" w:ascii="宋体" w:hAnsi="宋体" w:eastAsia="宋体" w:cs="宋体"/>
                <w:color w:val="auto"/>
                <w:sz w:val="24"/>
                <w:szCs w:val="24"/>
                <w:highlight w:val="none"/>
              </w:rPr>
            </w:pPr>
          </w:p>
        </w:tc>
        <w:tc>
          <w:tcPr>
            <w:tcW w:w="1229" w:type="dxa"/>
            <w:tcBorders>
              <w:top w:val="single" w:color="auto" w:sz="4" w:space="0"/>
              <w:left w:val="nil"/>
              <w:bottom w:val="single" w:color="auto" w:sz="4" w:space="0"/>
              <w:right w:val="single" w:color="auto" w:sz="4" w:space="0"/>
            </w:tcBorders>
          </w:tcPr>
          <w:p w14:paraId="4FEED54E">
            <w:pPr>
              <w:spacing w:line="360" w:lineRule="auto"/>
              <w:rPr>
                <w:rFonts w:hint="eastAsia" w:ascii="宋体" w:hAnsi="宋体" w:eastAsia="宋体" w:cs="宋体"/>
                <w:color w:val="auto"/>
                <w:sz w:val="24"/>
                <w:szCs w:val="24"/>
                <w:highlight w:val="none"/>
              </w:rPr>
            </w:pPr>
          </w:p>
        </w:tc>
        <w:tc>
          <w:tcPr>
            <w:tcW w:w="1229" w:type="dxa"/>
            <w:tcBorders>
              <w:top w:val="single" w:color="auto" w:sz="4" w:space="0"/>
              <w:left w:val="nil"/>
              <w:bottom w:val="single" w:color="auto" w:sz="4" w:space="0"/>
              <w:right w:val="single" w:color="auto" w:sz="4" w:space="0"/>
            </w:tcBorders>
          </w:tcPr>
          <w:p w14:paraId="02C6B109">
            <w:pPr>
              <w:spacing w:line="360" w:lineRule="auto"/>
              <w:rPr>
                <w:rFonts w:hint="eastAsia" w:ascii="宋体" w:hAnsi="宋体" w:eastAsia="宋体" w:cs="宋体"/>
                <w:color w:val="auto"/>
                <w:sz w:val="24"/>
                <w:szCs w:val="24"/>
                <w:highlight w:val="none"/>
              </w:rPr>
            </w:pPr>
          </w:p>
        </w:tc>
      </w:tr>
      <w:tr w14:paraId="2BF5D7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52" w:hRule="atLeast"/>
        </w:trPr>
        <w:tc>
          <w:tcPr>
            <w:tcW w:w="1895" w:type="dxa"/>
            <w:tcBorders>
              <w:top w:val="single" w:color="auto" w:sz="4" w:space="0"/>
              <w:left w:val="single" w:color="auto" w:sz="4" w:space="0"/>
              <w:bottom w:val="single" w:color="auto" w:sz="4" w:space="0"/>
              <w:right w:val="single" w:color="auto" w:sz="4" w:space="0"/>
            </w:tcBorders>
            <w:vAlign w:val="center"/>
          </w:tcPr>
          <w:p w14:paraId="0D3282DD">
            <w:pPr>
              <w:spacing w:line="360" w:lineRule="auto"/>
              <w:rPr>
                <w:rFonts w:hint="eastAsia" w:ascii="宋体" w:hAnsi="宋体" w:eastAsia="宋体" w:cs="宋体"/>
                <w:color w:val="auto"/>
                <w:sz w:val="24"/>
                <w:szCs w:val="24"/>
                <w:highlight w:val="none"/>
              </w:rPr>
            </w:pPr>
          </w:p>
        </w:tc>
        <w:tc>
          <w:tcPr>
            <w:tcW w:w="1727" w:type="dxa"/>
            <w:tcBorders>
              <w:top w:val="single" w:color="auto" w:sz="4" w:space="0"/>
              <w:left w:val="nil"/>
              <w:bottom w:val="single" w:color="auto" w:sz="4" w:space="0"/>
              <w:right w:val="single" w:color="auto" w:sz="4" w:space="0"/>
            </w:tcBorders>
            <w:vAlign w:val="center"/>
          </w:tcPr>
          <w:p w14:paraId="61DDD3EE">
            <w:pPr>
              <w:spacing w:line="360" w:lineRule="auto"/>
              <w:rPr>
                <w:rFonts w:hint="eastAsia" w:ascii="宋体" w:hAnsi="宋体" w:eastAsia="宋体" w:cs="宋体"/>
                <w:color w:val="auto"/>
                <w:sz w:val="24"/>
                <w:szCs w:val="24"/>
                <w:highlight w:val="none"/>
              </w:rPr>
            </w:pPr>
          </w:p>
        </w:tc>
        <w:tc>
          <w:tcPr>
            <w:tcW w:w="1609" w:type="dxa"/>
            <w:tcBorders>
              <w:top w:val="single" w:color="auto" w:sz="4" w:space="0"/>
              <w:left w:val="nil"/>
              <w:bottom w:val="single" w:color="auto" w:sz="4" w:space="0"/>
              <w:right w:val="single" w:color="auto" w:sz="4" w:space="0"/>
            </w:tcBorders>
            <w:vAlign w:val="center"/>
          </w:tcPr>
          <w:p w14:paraId="0361FA28">
            <w:pPr>
              <w:spacing w:line="360" w:lineRule="auto"/>
              <w:rPr>
                <w:rFonts w:hint="eastAsia" w:ascii="宋体" w:hAnsi="宋体" w:eastAsia="宋体" w:cs="宋体"/>
                <w:color w:val="auto"/>
                <w:sz w:val="24"/>
                <w:szCs w:val="24"/>
                <w:highlight w:val="none"/>
              </w:rPr>
            </w:pPr>
          </w:p>
        </w:tc>
        <w:tc>
          <w:tcPr>
            <w:tcW w:w="905" w:type="dxa"/>
            <w:tcBorders>
              <w:top w:val="single" w:color="auto" w:sz="4" w:space="0"/>
              <w:left w:val="nil"/>
              <w:bottom w:val="single" w:color="auto" w:sz="4" w:space="0"/>
              <w:right w:val="single" w:color="auto" w:sz="4" w:space="0"/>
            </w:tcBorders>
            <w:vAlign w:val="center"/>
          </w:tcPr>
          <w:p w14:paraId="65A43219">
            <w:pPr>
              <w:spacing w:line="360" w:lineRule="auto"/>
              <w:rPr>
                <w:rFonts w:hint="eastAsia" w:ascii="宋体" w:hAnsi="宋体" w:eastAsia="宋体" w:cs="宋体"/>
                <w:color w:val="auto"/>
                <w:sz w:val="24"/>
                <w:szCs w:val="24"/>
                <w:highlight w:val="none"/>
              </w:rPr>
            </w:pPr>
          </w:p>
        </w:tc>
        <w:tc>
          <w:tcPr>
            <w:tcW w:w="782" w:type="dxa"/>
            <w:tcBorders>
              <w:top w:val="single" w:color="auto" w:sz="4" w:space="0"/>
              <w:left w:val="nil"/>
              <w:bottom w:val="single" w:color="auto" w:sz="4" w:space="0"/>
              <w:right w:val="single" w:color="auto" w:sz="4" w:space="0"/>
            </w:tcBorders>
            <w:vAlign w:val="center"/>
          </w:tcPr>
          <w:p w14:paraId="1F912418">
            <w:pPr>
              <w:spacing w:line="360" w:lineRule="auto"/>
              <w:rPr>
                <w:rFonts w:hint="eastAsia" w:ascii="宋体" w:hAnsi="宋体" w:eastAsia="宋体" w:cs="宋体"/>
                <w:color w:val="auto"/>
                <w:sz w:val="24"/>
                <w:szCs w:val="24"/>
                <w:highlight w:val="none"/>
              </w:rPr>
            </w:pPr>
          </w:p>
        </w:tc>
        <w:tc>
          <w:tcPr>
            <w:tcW w:w="1229" w:type="dxa"/>
            <w:tcBorders>
              <w:top w:val="single" w:color="auto" w:sz="4" w:space="0"/>
              <w:left w:val="nil"/>
              <w:bottom w:val="single" w:color="auto" w:sz="4" w:space="0"/>
              <w:right w:val="single" w:color="auto" w:sz="4" w:space="0"/>
            </w:tcBorders>
            <w:vAlign w:val="center"/>
          </w:tcPr>
          <w:p w14:paraId="0F8278A4">
            <w:pPr>
              <w:spacing w:line="360" w:lineRule="auto"/>
              <w:rPr>
                <w:rFonts w:hint="eastAsia" w:ascii="宋体" w:hAnsi="宋体" w:eastAsia="宋体" w:cs="宋体"/>
                <w:color w:val="auto"/>
                <w:sz w:val="24"/>
                <w:szCs w:val="24"/>
                <w:highlight w:val="none"/>
              </w:rPr>
            </w:pPr>
          </w:p>
        </w:tc>
        <w:tc>
          <w:tcPr>
            <w:tcW w:w="1229" w:type="dxa"/>
            <w:tcBorders>
              <w:top w:val="single" w:color="auto" w:sz="4" w:space="0"/>
              <w:left w:val="nil"/>
              <w:bottom w:val="single" w:color="auto" w:sz="4" w:space="0"/>
              <w:right w:val="single" w:color="auto" w:sz="4" w:space="0"/>
            </w:tcBorders>
            <w:vAlign w:val="center"/>
          </w:tcPr>
          <w:p w14:paraId="061B5E6B">
            <w:pPr>
              <w:spacing w:line="360" w:lineRule="auto"/>
              <w:rPr>
                <w:rFonts w:hint="eastAsia" w:ascii="宋体" w:hAnsi="宋体" w:eastAsia="宋体" w:cs="宋体"/>
                <w:color w:val="auto"/>
                <w:sz w:val="24"/>
                <w:szCs w:val="24"/>
                <w:highlight w:val="none"/>
              </w:rPr>
            </w:pPr>
          </w:p>
        </w:tc>
      </w:tr>
      <w:tr w14:paraId="777BE0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10" w:hRule="atLeast"/>
        </w:trPr>
        <w:tc>
          <w:tcPr>
            <w:tcW w:w="6918" w:type="dxa"/>
            <w:gridSpan w:val="5"/>
            <w:tcBorders>
              <w:top w:val="single" w:color="auto" w:sz="4" w:space="0"/>
              <w:left w:val="single" w:color="auto" w:sz="4" w:space="0"/>
              <w:bottom w:val="single" w:color="auto" w:sz="4" w:space="0"/>
              <w:right w:val="single" w:color="auto" w:sz="4" w:space="0"/>
            </w:tcBorders>
            <w:vAlign w:val="center"/>
          </w:tcPr>
          <w:p w14:paraId="248BC9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合计金额（大写）：</w:t>
            </w:r>
          </w:p>
        </w:tc>
        <w:tc>
          <w:tcPr>
            <w:tcW w:w="1229" w:type="dxa"/>
            <w:tcBorders>
              <w:top w:val="single" w:color="auto" w:sz="4" w:space="0"/>
              <w:left w:val="nil"/>
              <w:bottom w:val="single" w:color="auto" w:sz="4" w:space="0"/>
              <w:right w:val="single" w:color="auto" w:sz="4" w:space="0"/>
            </w:tcBorders>
            <w:vAlign w:val="center"/>
          </w:tcPr>
          <w:p w14:paraId="654492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合计（元）</w:t>
            </w:r>
          </w:p>
        </w:tc>
        <w:tc>
          <w:tcPr>
            <w:tcW w:w="1229" w:type="dxa"/>
            <w:tcBorders>
              <w:top w:val="single" w:color="auto" w:sz="4" w:space="0"/>
              <w:left w:val="nil"/>
              <w:bottom w:val="single" w:color="auto" w:sz="4" w:space="0"/>
              <w:right w:val="single" w:color="auto" w:sz="4" w:space="0"/>
            </w:tcBorders>
            <w:vAlign w:val="center"/>
          </w:tcPr>
          <w:p w14:paraId="08632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p>
        </w:tc>
      </w:tr>
    </w:tbl>
    <w:p w14:paraId="4815A5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元，是指货物到达西安石油大学指定地点、完成验收后的价格，其中已包含货物价值、安装调试费、国内外运杂费（含保险）、仓储保管费、技术培训费、检测费、施工费、人工费等全部相关费用；</w:t>
      </w:r>
    </w:p>
    <w:p w14:paraId="72104D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3、合同总额为一次性包死价格，不受市场价格的变化和影响，在合同不发生变更时作为付款结算的依据。</w:t>
      </w:r>
    </w:p>
    <w:p w14:paraId="04EB3FE1">
      <w:pPr>
        <w:spacing w:line="360" w:lineRule="auto"/>
        <w:ind w:firstLine="361" w:firstLineChars="15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二、产品质量</w:t>
      </w:r>
    </w:p>
    <w:p w14:paraId="169B1F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1、乙方提供的货物及配套产品，必须是合同规定厂家制造的、合格、全新、未曾使用的、且经过国家质检部门检验，并颁发了产品准销证的产品。</w:t>
      </w:r>
    </w:p>
    <w:p w14:paraId="0C9F8B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2、乙方提供的货物及配套产品必须等同于或优于合同技术指标要求，并能按国家标准或行业标准供应、检测、调试，确保产品技术指标满足使用要求。</w:t>
      </w:r>
    </w:p>
    <w:p w14:paraId="0A66C4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04898B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4、设计技术专利、外型专利、应用软件专利等均应符合我国的有关法律及行业标准，凡因以上问题与第三方发生的任何纠纷均与甲方无关。</w:t>
      </w:r>
    </w:p>
    <w:p w14:paraId="4CEB238C">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三、产品包装要求及运输方式</w:t>
      </w:r>
    </w:p>
    <w:p w14:paraId="108940C3">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3C254896">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四、交货时间地点及方式</w:t>
      </w:r>
    </w:p>
    <w:p w14:paraId="143DEA6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交货时间为本合同生效后120天内到货并安装调试交付使用。安装地点：西安石油大学指定地点(西安石油大学雁塔校区)，所有产生费用乙方负责。甲方联系人：××，乙方联系人：××。</w:t>
      </w:r>
    </w:p>
    <w:p w14:paraId="298CA45B">
      <w:pP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五、设备的安装、调试及验收</w:t>
      </w:r>
    </w:p>
    <w:p w14:paraId="293CFC5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1、甲方和乙方应在现场安装设备前，共同确认所有设备是否符合招标要求。乙方负责安装调试，甲方提供必要的工作条件，安装调试所有费用乙方负责。</w:t>
      </w:r>
    </w:p>
    <w:p w14:paraId="200FD2A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2、甲方对乙方所交产品依照本合同和相关技术合同进行现场验收。验收不合格的，限期整改；整改仍达不到要求的，按本合同第八条第3款处理。</w:t>
      </w:r>
    </w:p>
    <w:p w14:paraId="70559C8F">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六、质保期及售后服务</w:t>
      </w:r>
    </w:p>
    <w:p w14:paraId="3F85D14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自学校验收合格之日起1年，干涉仪，光源质保10年，激光器质保5年。售后服务效率要求：7*24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14:paraId="5AEFB92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乙方售后服务及维修专线：××××××。</w:t>
      </w:r>
    </w:p>
    <w:p w14:paraId="37466A0B">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七、付款时间及付款方式</w:t>
      </w:r>
    </w:p>
    <w:p w14:paraId="5E767CC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1、履约保证金</w:t>
      </w:r>
    </w:p>
    <w:p w14:paraId="45C010C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1.1合同签订前，乙方须向甲方提交合同总价的</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5</w:t>
      </w:r>
      <w:r>
        <w:rPr>
          <w:rFonts w:hint="eastAsia" w:ascii="宋体" w:hAnsi="宋体" w:eastAsia="宋体" w:cs="宋体"/>
          <w:color w:val="auto"/>
          <w:sz w:val="24"/>
          <w:szCs w:val="24"/>
          <w:highlight w:val="none"/>
        </w:rPr>
        <w:t>%作为履约保证金；</w:t>
      </w:r>
    </w:p>
    <w:p w14:paraId="1256631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1.2履约保证金应使用人民币，按</w:t>
      </w:r>
      <w:r>
        <w:rPr>
          <w:rFonts w:hint="eastAsia" w:ascii="宋体" w:hAnsi="宋体" w:eastAsia="宋体" w:cs="宋体"/>
          <w:color w:val="auto"/>
          <w:sz w:val="24"/>
          <w:szCs w:val="24"/>
          <w:highlight w:val="none"/>
          <w:u w:val="single"/>
        </w:rPr>
        <w:t xml:space="preserve">   银行转账、支票/汇票/本票、保函/保险   </w:t>
      </w:r>
      <w:r>
        <w:rPr>
          <w:rFonts w:hint="eastAsia" w:ascii="宋体" w:hAnsi="宋体" w:eastAsia="宋体" w:cs="宋体"/>
          <w:color w:val="auto"/>
          <w:sz w:val="24"/>
          <w:szCs w:val="24"/>
          <w:highlight w:val="none"/>
        </w:rPr>
        <w:t xml:space="preserve"> 方式提交；</w:t>
      </w:r>
    </w:p>
    <w:p w14:paraId="48A103D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1.3待合同执行完毕、服务验收合格后凭验收单和缴款收据，合同履约保证金予以无息退还。如遇下列情况之一者，合同履约保证金不予退还，作为对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的赔偿：（1）合同签订后不能按合同时限要求供货或安装调试；（2）所供货物不合格、与合同不符；（3）不能按合同履约；（4）货物验收不合格。</w:t>
      </w:r>
    </w:p>
    <w:p w14:paraId="5B7432DA">
      <w:pPr>
        <w:numPr>
          <w:ilvl w:val="0"/>
          <w:numId w:val="0"/>
        </w:numPr>
        <w:snapToGrid w:val="0"/>
        <w:spacing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合同款支付</w:t>
      </w:r>
    </w:p>
    <w:p w14:paraId="3E331ADF">
      <w:pPr>
        <w:numPr>
          <w:ilvl w:val="0"/>
          <w:numId w:val="0"/>
        </w:numPr>
        <w:snapToGrid w:val="0"/>
        <w:spacing w:line="360" w:lineRule="auto"/>
        <w:ind w:firstLine="480" w:firstLineChars="200"/>
        <w:rPr>
          <w:rFonts w:hint="eastAsia" w:ascii="宋体" w:hAnsi="宋体" w:eastAsia="宋体" w:cs="宋体"/>
          <w:color w:val="FF0000"/>
          <w:sz w:val="24"/>
          <w:szCs w:val="24"/>
          <w:highlight w:val="none"/>
          <w:lang w:val="en-US" w:eastAsia="zh-CN"/>
        </w:rPr>
      </w:pPr>
      <w:r>
        <w:rPr>
          <w:rFonts w:hint="eastAsia" w:ascii="宋体" w:hAnsi="宋体" w:eastAsia="宋体" w:cs="宋体"/>
          <w:color w:val="auto"/>
          <w:sz w:val="24"/>
          <w:szCs w:val="24"/>
          <w:highlight w:val="none"/>
          <w:lang w:val="en-US" w:eastAsia="zh-CN"/>
        </w:rPr>
        <w:t>付款条件说明：合同签订后，供应商开具预付款等额银行保函，采购人收到银行保函正本后10个工作日内支付预付款，最多支付至160万元，剩余款项待验收合格后，并出具增值税专用发票，达到付款条件后10个工作日内付清。</w:t>
      </w:r>
    </w:p>
    <w:p w14:paraId="4589F7C7">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八、违约责任</w:t>
      </w:r>
    </w:p>
    <w:p w14:paraId="1422DF77">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1、合同生效后，甲乙双方应按合同规定认真履约。合同履约责任只涉及合同甲乙双方，不考虑第三方因素。</w:t>
      </w:r>
    </w:p>
    <w:p w14:paraId="63B7FE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不可抗力原因外，如遇下列情况之一者，乙方所缴纳的履约保证金甲方有权不予退还，作为对甲方的赔偿，且甲方有权解除本合同：（1）合同签订后不能按合同时限要求供货或安装调试；（2）所供货物不合格、与合同不符；（3）不能按合同履约；（4）货物验收不合格。</w:t>
      </w:r>
    </w:p>
    <w:p w14:paraId="497B231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3、如乙方产品质量不符合国家标准、行业内控标准或本合同技术附件要求的，甲方有权退货，乙方应退还全部货款，并承担甲方合同总价款10％的违约金及其他损失。</w:t>
      </w:r>
    </w:p>
    <w:p w14:paraId="1CC7176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4、在合同规定的供货期内乙方未全部交货，除应如数补齐外，还应承担合同总款的10％违约金。</w:t>
      </w:r>
    </w:p>
    <w:p w14:paraId="6CB2CA6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5、乙方对货物不按</w:t>
      </w:r>
      <w:r>
        <w:rPr>
          <w:rFonts w:hint="eastAsia" w:ascii="宋体" w:hAnsi="宋体" w:eastAsia="宋体" w:cs="宋体"/>
          <w:color w:val="auto"/>
          <w:sz w:val="24"/>
          <w:szCs w:val="24"/>
          <w:highlight w:val="none"/>
          <w:lang w:eastAsia="zh-CN"/>
        </w:rPr>
        <w:t>竞争性谈判文件</w:t>
      </w:r>
      <w:r>
        <w:rPr>
          <w:rFonts w:hint="eastAsia" w:ascii="宋体" w:hAnsi="宋体" w:eastAsia="宋体" w:cs="宋体"/>
          <w:color w:val="auto"/>
          <w:sz w:val="24"/>
          <w:szCs w:val="24"/>
          <w:highlight w:val="none"/>
        </w:rPr>
        <w:t>要求，擅自更换，除恢复原招标产品外，应承担更换部分价款10%的违约金；乙方如对产品材质、随机配品以次充好，除全部按要求恢复外，应承担此部分价款10%的违约金。</w:t>
      </w:r>
    </w:p>
    <w:p w14:paraId="7230D61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4F51914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7B62160">
      <w:pPr>
        <w:spacing w:line="360" w:lineRule="auto"/>
        <w:ind w:firstLine="361" w:firstLineChars="15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九、解决合同纠纷方式：双方友好协商解决，协商未果由西安市仲裁委员会仲裁。</w:t>
      </w:r>
    </w:p>
    <w:p w14:paraId="7BBECAD4">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十、其它事项</w:t>
      </w:r>
    </w:p>
    <w:p w14:paraId="1D5DED8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1、本合同一式七份，甲方五份，乙方一份，代理机构一份，经甲、乙双方签字盖章后生效，具有同等法律效力。</w:t>
      </w:r>
    </w:p>
    <w:p w14:paraId="23057EA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2、合同所有附件均为本合同不可分割的组成部分，与本合同具有同等法律效力。</w:t>
      </w:r>
    </w:p>
    <w:p w14:paraId="0D1C0DF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w:t>
      </w:r>
      <w:r>
        <w:rPr>
          <w:rFonts w:hint="eastAsia" w:ascii="宋体" w:hAnsi="宋体" w:eastAsia="宋体" w:cs="宋体"/>
          <w:color w:val="auto"/>
          <w:sz w:val="24"/>
          <w:szCs w:val="24"/>
          <w:highlight w:val="none"/>
          <w:lang w:eastAsia="zh-CN"/>
        </w:rPr>
        <w:t>竞争性谈判文件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均为本合同不可分割的组成部分，与本合同具有同等法律效力。</w:t>
      </w:r>
    </w:p>
    <w:tbl>
      <w:tblPr>
        <w:tblStyle w:val="4"/>
        <w:tblW w:w="9363" w:type="dxa"/>
        <w:jc w:val="center"/>
        <w:tblLayout w:type="fixed"/>
        <w:tblCellMar>
          <w:top w:w="0" w:type="dxa"/>
          <w:left w:w="108" w:type="dxa"/>
          <w:bottom w:w="0" w:type="dxa"/>
          <w:right w:w="108" w:type="dxa"/>
        </w:tblCellMar>
      </w:tblPr>
      <w:tblGrid>
        <w:gridCol w:w="3780"/>
        <w:gridCol w:w="3088"/>
        <w:gridCol w:w="2495"/>
      </w:tblGrid>
      <w:tr w14:paraId="3CC2F782">
        <w:tblPrEx>
          <w:tblCellMar>
            <w:top w:w="0" w:type="dxa"/>
            <w:left w:w="108" w:type="dxa"/>
            <w:bottom w:w="0" w:type="dxa"/>
            <w:right w:w="108" w:type="dxa"/>
          </w:tblCellMar>
        </w:tblPrEx>
        <w:trPr>
          <w:jc w:val="center"/>
        </w:trPr>
        <w:tc>
          <w:tcPr>
            <w:tcW w:w="3780" w:type="dxa"/>
            <w:vAlign w:val="center"/>
          </w:tcPr>
          <w:p w14:paraId="58E1FD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甲方：西安石油大学（盖章）</w:t>
            </w:r>
          </w:p>
        </w:tc>
        <w:tc>
          <w:tcPr>
            <w:tcW w:w="3088" w:type="dxa"/>
            <w:vAlign w:val="center"/>
          </w:tcPr>
          <w:p w14:paraId="79B1B3D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乙方：××公司（盖章）</w:t>
            </w:r>
          </w:p>
        </w:tc>
        <w:tc>
          <w:tcPr>
            <w:tcW w:w="2495" w:type="dxa"/>
            <w:vMerge w:val="restart"/>
          </w:tcPr>
          <w:p w14:paraId="7DF6C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见证方：××（盖章）</w:t>
            </w:r>
          </w:p>
        </w:tc>
      </w:tr>
      <w:tr w14:paraId="53D17B7D">
        <w:tblPrEx>
          <w:tblCellMar>
            <w:top w:w="0" w:type="dxa"/>
            <w:left w:w="108" w:type="dxa"/>
            <w:bottom w:w="0" w:type="dxa"/>
            <w:right w:w="108" w:type="dxa"/>
          </w:tblCellMar>
        </w:tblPrEx>
        <w:trPr>
          <w:jc w:val="center"/>
        </w:trPr>
        <w:tc>
          <w:tcPr>
            <w:tcW w:w="3780" w:type="dxa"/>
            <w:vAlign w:val="center"/>
          </w:tcPr>
          <w:p w14:paraId="2B6B763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法人或委托代理人：</w:t>
            </w:r>
          </w:p>
        </w:tc>
        <w:tc>
          <w:tcPr>
            <w:tcW w:w="3088" w:type="dxa"/>
            <w:vAlign w:val="center"/>
          </w:tcPr>
          <w:p w14:paraId="26C66022">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法人或委托代理人：</w:t>
            </w:r>
          </w:p>
        </w:tc>
        <w:tc>
          <w:tcPr>
            <w:tcW w:w="2495" w:type="dxa"/>
            <w:vMerge w:val="continue"/>
            <w:vAlign w:val="center"/>
          </w:tcPr>
          <w:p w14:paraId="1277BE77">
            <w:pPr>
              <w:spacing w:line="360" w:lineRule="auto"/>
              <w:ind w:firstLine="360" w:firstLineChars="150"/>
              <w:rPr>
                <w:rFonts w:hint="eastAsia" w:ascii="宋体" w:hAnsi="宋体" w:eastAsia="宋体" w:cs="宋体"/>
                <w:color w:val="auto"/>
                <w:sz w:val="24"/>
                <w:szCs w:val="24"/>
                <w:highlight w:val="none"/>
              </w:rPr>
            </w:pPr>
          </w:p>
        </w:tc>
      </w:tr>
      <w:tr w14:paraId="4995DB74">
        <w:tblPrEx>
          <w:tblCellMar>
            <w:top w:w="0" w:type="dxa"/>
            <w:left w:w="108" w:type="dxa"/>
            <w:bottom w:w="0" w:type="dxa"/>
            <w:right w:w="108" w:type="dxa"/>
          </w:tblCellMar>
        </w:tblPrEx>
        <w:trPr>
          <w:jc w:val="center"/>
        </w:trPr>
        <w:tc>
          <w:tcPr>
            <w:tcW w:w="3780" w:type="dxa"/>
            <w:vAlign w:val="center"/>
          </w:tcPr>
          <w:p w14:paraId="30D640A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3088" w:type="dxa"/>
            <w:vAlign w:val="center"/>
          </w:tcPr>
          <w:p w14:paraId="042CCCC4">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2495" w:type="dxa"/>
            <w:vMerge w:val="continue"/>
            <w:vAlign w:val="center"/>
          </w:tcPr>
          <w:p w14:paraId="7403389C">
            <w:pPr>
              <w:spacing w:line="360" w:lineRule="auto"/>
              <w:ind w:firstLine="360" w:firstLineChars="150"/>
              <w:rPr>
                <w:rFonts w:hint="eastAsia" w:ascii="宋体" w:hAnsi="宋体" w:eastAsia="宋体" w:cs="宋体"/>
                <w:color w:val="auto"/>
                <w:sz w:val="24"/>
                <w:szCs w:val="24"/>
                <w:highlight w:val="none"/>
              </w:rPr>
            </w:pPr>
          </w:p>
        </w:tc>
      </w:tr>
      <w:tr w14:paraId="06DDAFE2">
        <w:tblPrEx>
          <w:tblCellMar>
            <w:top w:w="0" w:type="dxa"/>
            <w:left w:w="108" w:type="dxa"/>
            <w:bottom w:w="0" w:type="dxa"/>
            <w:right w:w="108" w:type="dxa"/>
          </w:tblCellMar>
        </w:tblPrEx>
        <w:trPr>
          <w:jc w:val="center"/>
        </w:trPr>
        <w:tc>
          <w:tcPr>
            <w:tcW w:w="3780" w:type="dxa"/>
            <w:vAlign w:val="center"/>
          </w:tcPr>
          <w:p w14:paraId="48ECED9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c>
          <w:tcPr>
            <w:tcW w:w="3088" w:type="dxa"/>
            <w:vAlign w:val="center"/>
          </w:tcPr>
          <w:p w14:paraId="18C2858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c>
          <w:tcPr>
            <w:tcW w:w="2495" w:type="dxa"/>
            <w:vAlign w:val="center"/>
          </w:tcPr>
          <w:p w14:paraId="2CB7DBE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tc>
      </w:tr>
      <w:tr w14:paraId="39CE512D">
        <w:tblPrEx>
          <w:tblCellMar>
            <w:top w:w="0" w:type="dxa"/>
            <w:left w:w="108" w:type="dxa"/>
            <w:bottom w:w="0" w:type="dxa"/>
            <w:right w:w="108" w:type="dxa"/>
          </w:tblCellMar>
        </w:tblPrEx>
        <w:trPr>
          <w:jc w:val="center"/>
        </w:trPr>
        <w:tc>
          <w:tcPr>
            <w:tcW w:w="3780" w:type="dxa"/>
            <w:vAlign w:val="center"/>
          </w:tcPr>
          <w:p w14:paraId="6AE4E0BC">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3088" w:type="dxa"/>
            <w:vAlign w:val="center"/>
          </w:tcPr>
          <w:p w14:paraId="59307FF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2495" w:type="dxa"/>
            <w:vAlign w:val="center"/>
          </w:tcPr>
          <w:p w14:paraId="6C538BD3">
            <w:pPr>
              <w:spacing w:line="360" w:lineRule="auto"/>
              <w:ind w:firstLine="360" w:firstLineChars="150"/>
              <w:rPr>
                <w:rFonts w:hint="eastAsia" w:ascii="宋体" w:hAnsi="宋体" w:eastAsia="宋体" w:cs="宋体"/>
                <w:color w:val="auto"/>
                <w:sz w:val="24"/>
                <w:szCs w:val="24"/>
                <w:highlight w:val="none"/>
              </w:rPr>
            </w:pPr>
          </w:p>
        </w:tc>
      </w:tr>
      <w:tr w14:paraId="01FBC0BA">
        <w:tblPrEx>
          <w:tblCellMar>
            <w:top w:w="0" w:type="dxa"/>
            <w:left w:w="108" w:type="dxa"/>
            <w:bottom w:w="0" w:type="dxa"/>
            <w:right w:w="108" w:type="dxa"/>
          </w:tblCellMar>
        </w:tblPrEx>
        <w:trPr>
          <w:jc w:val="center"/>
        </w:trPr>
        <w:tc>
          <w:tcPr>
            <w:tcW w:w="3780" w:type="dxa"/>
            <w:vAlign w:val="center"/>
          </w:tcPr>
          <w:p w14:paraId="1E41530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3088" w:type="dxa"/>
            <w:vAlign w:val="center"/>
          </w:tcPr>
          <w:p w14:paraId="7878A4E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tc>
        <w:tc>
          <w:tcPr>
            <w:tcW w:w="2495" w:type="dxa"/>
            <w:vAlign w:val="center"/>
          </w:tcPr>
          <w:p w14:paraId="27033F44">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1BC41C14">
        <w:tblPrEx>
          <w:tblCellMar>
            <w:top w:w="0" w:type="dxa"/>
            <w:left w:w="108" w:type="dxa"/>
            <w:bottom w:w="0" w:type="dxa"/>
            <w:right w:w="108" w:type="dxa"/>
          </w:tblCellMar>
        </w:tblPrEx>
        <w:trPr>
          <w:jc w:val="center"/>
        </w:trPr>
        <w:tc>
          <w:tcPr>
            <w:tcW w:w="3780" w:type="dxa"/>
            <w:vAlign w:val="center"/>
          </w:tcPr>
          <w:p w14:paraId="2DCDDF8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3088" w:type="dxa"/>
            <w:vAlign w:val="center"/>
          </w:tcPr>
          <w:p w14:paraId="1981548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495" w:type="dxa"/>
            <w:vAlign w:val="center"/>
          </w:tcPr>
          <w:p w14:paraId="20DE473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23E5F01A">
        <w:tblPrEx>
          <w:tblCellMar>
            <w:top w:w="0" w:type="dxa"/>
            <w:left w:w="108" w:type="dxa"/>
            <w:bottom w:w="0" w:type="dxa"/>
            <w:right w:w="108" w:type="dxa"/>
          </w:tblCellMar>
        </w:tblPrEx>
        <w:trPr>
          <w:jc w:val="center"/>
        </w:trPr>
        <w:tc>
          <w:tcPr>
            <w:tcW w:w="3780" w:type="dxa"/>
            <w:vAlign w:val="center"/>
          </w:tcPr>
          <w:p w14:paraId="1EE5B57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c>
          <w:tcPr>
            <w:tcW w:w="3088" w:type="dxa"/>
            <w:vAlign w:val="center"/>
          </w:tcPr>
          <w:p w14:paraId="57F65EA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c>
          <w:tcPr>
            <w:tcW w:w="2495" w:type="dxa"/>
            <w:vAlign w:val="center"/>
          </w:tcPr>
          <w:p w14:paraId="15613F75">
            <w:pPr>
              <w:spacing w:line="360" w:lineRule="auto"/>
              <w:ind w:firstLine="360" w:firstLineChars="150"/>
              <w:rPr>
                <w:rFonts w:hint="eastAsia" w:ascii="宋体" w:hAnsi="宋体" w:eastAsia="宋体" w:cs="宋体"/>
                <w:color w:val="auto"/>
                <w:sz w:val="24"/>
                <w:szCs w:val="24"/>
                <w:highlight w:val="none"/>
              </w:rPr>
            </w:pPr>
          </w:p>
        </w:tc>
      </w:tr>
    </w:tbl>
    <w:p w14:paraId="03DA94D1">
      <w:pPr>
        <w:ind w:firstLine="361" w:firstLineChars="150"/>
        <w:jc w:val="center"/>
        <w:rPr>
          <w:rFonts w:hint="eastAsia" w:ascii="宋体" w:hAnsi="宋体" w:eastAsia="宋体" w:cs="宋体"/>
          <w:b/>
          <w:bCs/>
          <w:color w:val="auto"/>
          <w:sz w:val="24"/>
          <w:szCs w:val="24"/>
          <w:highlight w:val="none"/>
        </w:rPr>
      </w:pPr>
    </w:p>
    <w:p w14:paraId="6FC60E8A">
      <w:pPr>
        <w:jc w:val="both"/>
        <w:rPr>
          <w:rFonts w:hint="eastAsia" w:ascii="宋体" w:hAnsi="宋体" w:eastAsia="宋体" w:cs="宋体"/>
          <w:b/>
          <w:bCs/>
          <w:color w:val="auto"/>
          <w:sz w:val="24"/>
          <w:szCs w:val="24"/>
          <w:highlight w:val="none"/>
        </w:rPr>
      </w:pPr>
    </w:p>
    <w:p w14:paraId="036E95D6">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14:paraId="46CC763D">
      <w:pPr>
        <w:ind w:firstLine="361" w:firstLineChars="15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西安石油大学热红联用仪采购项目</w:t>
      </w:r>
      <w:r>
        <w:rPr>
          <w:rFonts w:hint="eastAsia" w:ascii="宋体" w:hAnsi="宋体" w:eastAsia="宋体" w:cs="宋体"/>
          <w:b/>
          <w:bCs/>
          <w:color w:val="auto"/>
          <w:sz w:val="24"/>
          <w:szCs w:val="24"/>
          <w:highlight w:val="none"/>
        </w:rPr>
        <w:t>技术协议</w:t>
      </w:r>
    </w:p>
    <w:p w14:paraId="46F14CB4">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注：若技术参数等内容较少并能在合同中准确完整的描述，则不需单独签订技术协议。</w:t>
      </w:r>
    </w:p>
    <w:p w14:paraId="050E5351">
      <w:pPr>
        <w:tabs>
          <w:tab w:val="left" w:pos="288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甲方：西安石油大学</w:t>
      </w:r>
      <w:r>
        <w:rPr>
          <w:rFonts w:hint="eastAsia" w:ascii="宋体" w:hAnsi="宋体" w:eastAsia="宋体" w:cs="宋体"/>
          <w:color w:val="auto"/>
          <w:sz w:val="24"/>
          <w:szCs w:val="24"/>
          <w:highlight w:val="none"/>
        </w:rPr>
        <w:tab/>
      </w:r>
    </w:p>
    <w:p w14:paraId="19EA3922">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乙方：××公司</w:t>
      </w:r>
    </w:p>
    <w:p w14:paraId="4F5036CC">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西安石油大学（以下简称甲方）和××公司（以下简称乙方）通过谈判，就甲方××院××购置，达成以下技术协议：</w:t>
      </w:r>
    </w:p>
    <w:p w14:paraId="4A8C5F4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一、设备名称、规格型号、生产厂家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79D4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086" w:type="dxa"/>
            <w:vAlign w:val="center"/>
          </w:tcPr>
          <w:p w14:paraId="05AD115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70" w:type="dxa"/>
            <w:vAlign w:val="center"/>
          </w:tcPr>
          <w:p w14:paraId="3062E5C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设备名称</w:t>
            </w:r>
          </w:p>
        </w:tc>
        <w:tc>
          <w:tcPr>
            <w:tcW w:w="2541" w:type="dxa"/>
            <w:vAlign w:val="center"/>
          </w:tcPr>
          <w:p w14:paraId="4670955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2149" w:type="dxa"/>
            <w:vAlign w:val="center"/>
          </w:tcPr>
          <w:p w14:paraId="3AE633F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生产厂家</w:t>
            </w:r>
          </w:p>
        </w:tc>
      </w:tr>
      <w:tr w14:paraId="1DAD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6" w:type="dxa"/>
            <w:vAlign w:val="center"/>
          </w:tcPr>
          <w:p w14:paraId="4003F434">
            <w:pPr>
              <w:spacing w:line="360" w:lineRule="auto"/>
              <w:ind w:firstLine="360" w:firstLineChars="150"/>
              <w:rPr>
                <w:rFonts w:hint="eastAsia" w:ascii="宋体" w:hAnsi="宋体" w:eastAsia="宋体" w:cs="宋体"/>
                <w:color w:val="auto"/>
                <w:sz w:val="24"/>
                <w:szCs w:val="24"/>
                <w:highlight w:val="none"/>
              </w:rPr>
            </w:pPr>
          </w:p>
        </w:tc>
        <w:tc>
          <w:tcPr>
            <w:tcW w:w="2270" w:type="dxa"/>
            <w:vAlign w:val="center"/>
          </w:tcPr>
          <w:p w14:paraId="53215B16">
            <w:pPr>
              <w:spacing w:line="360" w:lineRule="auto"/>
              <w:ind w:firstLine="360" w:firstLineChars="150"/>
              <w:rPr>
                <w:rFonts w:hint="eastAsia" w:ascii="宋体" w:hAnsi="宋体" w:eastAsia="宋体" w:cs="宋体"/>
                <w:color w:val="auto"/>
                <w:sz w:val="24"/>
                <w:szCs w:val="24"/>
                <w:highlight w:val="none"/>
              </w:rPr>
            </w:pPr>
          </w:p>
        </w:tc>
        <w:tc>
          <w:tcPr>
            <w:tcW w:w="2541" w:type="dxa"/>
            <w:vAlign w:val="center"/>
          </w:tcPr>
          <w:p w14:paraId="59F60474">
            <w:pPr>
              <w:spacing w:line="360" w:lineRule="auto"/>
              <w:ind w:firstLine="360" w:firstLineChars="150"/>
              <w:rPr>
                <w:rFonts w:hint="eastAsia" w:ascii="宋体" w:hAnsi="宋体" w:eastAsia="宋体" w:cs="宋体"/>
                <w:color w:val="auto"/>
                <w:sz w:val="24"/>
                <w:szCs w:val="24"/>
                <w:highlight w:val="none"/>
              </w:rPr>
            </w:pPr>
          </w:p>
        </w:tc>
        <w:tc>
          <w:tcPr>
            <w:tcW w:w="2149" w:type="dxa"/>
            <w:vAlign w:val="center"/>
          </w:tcPr>
          <w:p w14:paraId="2716BE54">
            <w:pPr>
              <w:spacing w:line="360" w:lineRule="auto"/>
              <w:ind w:firstLine="360" w:firstLineChars="150"/>
              <w:rPr>
                <w:rFonts w:hint="eastAsia" w:ascii="宋体" w:hAnsi="宋体" w:eastAsia="宋体" w:cs="宋体"/>
                <w:color w:val="auto"/>
                <w:sz w:val="24"/>
                <w:szCs w:val="24"/>
                <w:highlight w:val="none"/>
              </w:rPr>
            </w:pPr>
          </w:p>
        </w:tc>
      </w:tr>
    </w:tbl>
    <w:p w14:paraId="2B8DEFA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二、设备配置及技术指标:</w:t>
      </w:r>
    </w:p>
    <w:p w14:paraId="4BFA2B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p w14:paraId="21416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p w14:paraId="333035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p w14:paraId="5D6C246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三、解决协议纠纷方式：双方友好协商解决，协商未果由西安市仲裁委员会仲裁。</w:t>
      </w:r>
    </w:p>
    <w:p w14:paraId="696A1E5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四、其它事项</w:t>
      </w:r>
    </w:p>
    <w:p w14:paraId="54CDBBF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1、本协议作为设备购置合同附件与合同同时生效。</w:t>
      </w:r>
    </w:p>
    <w:p w14:paraId="2E9A9FB2">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2、本协议一式七份，甲方五份，乙方一份，代理机构一份，经甲、乙双方签字盖章后生效。</w:t>
      </w:r>
    </w:p>
    <w:p w14:paraId="11D4C679">
      <w:pPr>
        <w:spacing w:line="360" w:lineRule="auto"/>
        <w:ind w:firstLine="360" w:firstLineChars="150"/>
        <w:rPr>
          <w:rFonts w:hint="eastAsia" w:ascii="宋体" w:hAnsi="宋体" w:eastAsia="宋体" w:cs="宋体"/>
          <w:color w:val="auto"/>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1A47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764BBB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829" w:type="dxa"/>
            <w:tcBorders>
              <w:top w:val="nil"/>
              <w:left w:val="nil"/>
              <w:bottom w:val="nil"/>
              <w:right w:val="nil"/>
            </w:tcBorders>
            <w:vAlign w:val="center"/>
          </w:tcPr>
          <w:p w14:paraId="348A1C3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4B03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ECFBB5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c>
          <w:tcPr>
            <w:tcW w:w="4829" w:type="dxa"/>
            <w:tcBorders>
              <w:top w:val="nil"/>
              <w:left w:val="nil"/>
              <w:bottom w:val="nil"/>
              <w:right w:val="nil"/>
            </w:tcBorders>
            <w:vAlign w:val="center"/>
          </w:tcPr>
          <w:p w14:paraId="00CB6E8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r>
      <w:tr w14:paraId="47BC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A1F6682">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4829" w:type="dxa"/>
            <w:tcBorders>
              <w:top w:val="nil"/>
              <w:left w:val="nil"/>
              <w:bottom w:val="nil"/>
              <w:right w:val="nil"/>
            </w:tcBorders>
            <w:vAlign w:val="center"/>
          </w:tcPr>
          <w:p w14:paraId="5C01DBA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tc>
      </w:tr>
      <w:tr w14:paraId="7FBB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DB3619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代表人：</w:t>
            </w:r>
          </w:p>
        </w:tc>
        <w:tc>
          <w:tcPr>
            <w:tcW w:w="4829" w:type="dxa"/>
            <w:tcBorders>
              <w:top w:val="nil"/>
              <w:left w:val="nil"/>
              <w:bottom w:val="nil"/>
              <w:right w:val="nil"/>
            </w:tcBorders>
            <w:vAlign w:val="center"/>
          </w:tcPr>
          <w:p w14:paraId="47796DD4">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代表人： </w:t>
            </w:r>
          </w:p>
        </w:tc>
      </w:tr>
      <w:tr w14:paraId="0203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0A712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bookmarkStart w:id="0" w:name="_GoBack"/>
            <w:bookmarkEnd w:id="0"/>
          </w:p>
        </w:tc>
        <w:tc>
          <w:tcPr>
            <w:tcW w:w="4829" w:type="dxa"/>
            <w:tcBorders>
              <w:top w:val="nil"/>
              <w:left w:val="nil"/>
              <w:bottom w:val="nil"/>
              <w:right w:val="nil"/>
            </w:tcBorders>
            <w:vAlign w:val="center"/>
          </w:tcPr>
          <w:p w14:paraId="7029828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14:paraId="4F10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94F9C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c>
          <w:tcPr>
            <w:tcW w:w="4829" w:type="dxa"/>
            <w:tcBorders>
              <w:top w:val="nil"/>
              <w:left w:val="nil"/>
              <w:bottom w:val="nil"/>
              <w:right w:val="nil"/>
            </w:tcBorders>
            <w:vAlign w:val="center"/>
          </w:tcPr>
          <w:p w14:paraId="5D1E46C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r>
    </w:tbl>
    <w:p w14:paraId="43F8DA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82B4D"/>
    <w:rsid w:val="2DF262C6"/>
    <w:rsid w:val="3F182B4D"/>
    <w:rsid w:val="4D6D2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3175</Words>
  <Characters>3298</Characters>
  <Lines>0</Lines>
  <Paragraphs>0</Paragraphs>
  <TotalTime>0</TotalTime>
  <ScaleCrop>false</ScaleCrop>
  <LinksUpToDate>false</LinksUpToDate>
  <CharactersWithSpaces>3445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2026-06-26T11:37:00Z</dcterms:created>
  <dc:creator>hp</dc:creator>
  <cp:lastModifiedBy>hp</cp:lastModifiedBy>
  <dcterms:modified xsi:type="dcterms:W3CDTF">2026-06-26T11:40:05Z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72C6E379F4BB41CFA3EF67F6F000E60F_11</vt:lpwstr>
  </property>
  <property fmtid="{D5CDD505-2E9C-101B-9397-08002B2CF9AE}" pid="4" name="KSOTemplateDocerSaveRecord">
    <vt:lpwstr>eyJoZGlkIjoiYzk4YjQwOTk1OGVhOThjMWRkNTEyYjkyYTJmODAzOTUifQ==</vt:lpwstr>
  </property>
</Properties>
</file>