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B8163">
      <w:pPr>
        <w:keepNext w:val="0"/>
        <w:keepLines w:val="0"/>
        <w:pageBreakBefore w:val="0"/>
        <w:wordWrap/>
        <w:overflowPunct/>
        <w:topLinePunct w:val="0"/>
        <w:bidi w:val="0"/>
        <w:spacing w:line="500" w:lineRule="exact"/>
        <w:jc w:val="center"/>
        <w:rPr>
          <w:rFonts w:hint="eastAsia" w:ascii="宋体" w:hAnsi="宋体" w:cs="宋体"/>
          <w:b/>
          <w:bCs/>
          <w:color w:val="auto"/>
          <w:sz w:val="44"/>
          <w:szCs w:val="44"/>
          <w:highlight w:val="none"/>
          <w:lang w:eastAsia="zh-CN"/>
        </w:rPr>
      </w:pPr>
    </w:p>
    <w:p w14:paraId="5C905157">
      <w:pPr>
        <w:keepNext w:val="0"/>
        <w:keepLines w:val="0"/>
        <w:pageBreakBefore w:val="0"/>
        <w:wordWrap/>
        <w:overflowPunct/>
        <w:topLinePunct w:val="0"/>
        <w:bidi w:val="0"/>
        <w:spacing w:line="500" w:lineRule="exact"/>
        <w:jc w:val="center"/>
        <w:rPr>
          <w:rFonts w:hint="eastAsia" w:ascii="宋体" w:hAnsi="宋体" w:cs="宋体"/>
          <w:b/>
          <w:bCs/>
          <w:color w:val="auto"/>
          <w:sz w:val="44"/>
          <w:szCs w:val="44"/>
          <w:highlight w:val="none"/>
          <w:lang w:eastAsia="zh-CN"/>
        </w:rPr>
      </w:pPr>
    </w:p>
    <w:p w14:paraId="48914159">
      <w:pPr>
        <w:keepNext w:val="0"/>
        <w:keepLines w:val="0"/>
        <w:pageBreakBefore w:val="0"/>
        <w:wordWrap/>
        <w:overflowPunct/>
        <w:topLinePunct w:val="0"/>
        <w:bidi w:val="0"/>
        <w:spacing w:line="500" w:lineRule="exact"/>
        <w:jc w:val="center"/>
        <w:rPr>
          <w:rFonts w:hint="eastAsia" w:ascii="宋体" w:hAnsi="宋体" w:cs="宋体"/>
          <w:b/>
          <w:bCs/>
          <w:color w:val="auto"/>
          <w:sz w:val="44"/>
          <w:szCs w:val="44"/>
          <w:highlight w:val="none"/>
          <w:lang w:eastAsia="zh-CN"/>
        </w:rPr>
      </w:pPr>
    </w:p>
    <w:p w14:paraId="79491B47">
      <w:pPr>
        <w:keepNext w:val="0"/>
        <w:keepLines w:val="0"/>
        <w:pageBreakBefore w:val="0"/>
        <w:wordWrap/>
        <w:overflowPunct/>
        <w:topLinePunct w:val="0"/>
        <w:bidi w:val="0"/>
        <w:spacing w:line="500" w:lineRule="exact"/>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陕西省水利关键信息基础设施完善与</w:t>
      </w:r>
    </w:p>
    <w:p w14:paraId="38FA95C2">
      <w:pPr>
        <w:keepNext w:val="0"/>
        <w:keepLines w:val="0"/>
        <w:pageBreakBefore w:val="0"/>
        <w:wordWrap/>
        <w:overflowPunct/>
        <w:topLinePunct w:val="0"/>
        <w:bidi w:val="0"/>
        <w:spacing w:line="500" w:lineRule="exact"/>
        <w:jc w:val="center"/>
        <w:rPr>
          <w:rFonts w:hint="eastAsia" w:ascii="宋体" w:hAnsi="宋体" w:eastAsia="宋体" w:cs="宋体"/>
          <w:b/>
          <w:bCs/>
          <w:color w:val="auto"/>
          <w:sz w:val="44"/>
          <w:szCs w:val="44"/>
          <w:highlight w:val="none"/>
          <w:lang w:eastAsia="zh-CN"/>
        </w:rPr>
      </w:pPr>
      <w:r>
        <w:rPr>
          <w:rFonts w:hint="eastAsia" w:ascii="宋体" w:hAnsi="宋体" w:cs="宋体"/>
          <w:b/>
          <w:bCs/>
          <w:color w:val="auto"/>
          <w:sz w:val="44"/>
          <w:szCs w:val="44"/>
          <w:highlight w:val="none"/>
          <w:lang w:eastAsia="zh-CN"/>
        </w:rPr>
        <w:t>商用密码应用改造项目</w:t>
      </w:r>
    </w:p>
    <w:p w14:paraId="65868665">
      <w:pPr>
        <w:keepNext w:val="0"/>
        <w:keepLines w:val="0"/>
        <w:pageBreakBefore w:val="0"/>
        <w:wordWrap/>
        <w:overflowPunct/>
        <w:topLinePunct w:val="0"/>
        <w:bidi w:val="0"/>
        <w:spacing w:line="500" w:lineRule="exact"/>
        <w:rPr>
          <w:rFonts w:hint="eastAsia" w:ascii="宋体" w:hAnsi="宋体" w:eastAsia="宋体" w:cs="宋体"/>
          <w:color w:val="auto"/>
          <w:highlight w:val="none"/>
        </w:rPr>
      </w:pPr>
    </w:p>
    <w:p w14:paraId="2B08E73C">
      <w:pPr>
        <w:pStyle w:val="4"/>
        <w:keepNext w:val="0"/>
        <w:keepLines w:val="0"/>
        <w:pageBreakBefore w:val="0"/>
        <w:wordWrap/>
        <w:overflowPunct/>
        <w:topLinePunct w:val="0"/>
        <w:bidi w:val="0"/>
        <w:spacing w:line="500" w:lineRule="exact"/>
        <w:rPr>
          <w:rFonts w:hint="eastAsia" w:ascii="宋体" w:hAnsi="宋体" w:eastAsia="宋体" w:cs="宋体"/>
          <w:color w:val="auto"/>
          <w:highlight w:val="none"/>
        </w:rPr>
      </w:pPr>
    </w:p>
    <w:p w14:paraId="4873CC1D">
      <w:pPr>
        <w:keepNext w:val="0"/>
        <w:keepLines w:val="0"/>
        <w:pageBreakBefore w:val="0"/>
        <w:wordWrap/>
        <w:overflowPunct/>
        <w:topLinePunct w:val="0"/>
        <w:bidi w:val="0"/>
        <w:spacing w:line="500" w:lineRule="exact"/>
        <w:rPr>
          <w:rFonts w:hint="eastAsia"/>
          <w:color w:val="auto"/>
        </w:rPr>
      </w:pPr>
    </w:p>
    <w:p w14:paraId="51F89B86">
      <w:pPr>
        <w:keepNext w:val="0"/>
        <w:keepLines w:val="0"/>
        <w:pageBreakBefore w:val="0"/>
        <w:wordWrap/>
        <w:overflowPunct/>
        <w:topLinePunct w:val="0"/>
        <w:bidi w:val="0"/>
        <w:spacing w:line="500" w:lineRule="exact"/>
        <w:rPr>
          <w:rFonts w:hint="eastAsia" w:ascii="宋体" w:hAnsi="宋体" w:eastAsia="宋体" w:cs="宋体"/>
          <w:color w:val="auto"/>
          <w:highlight w:val="none"/>
        </w:rPr>
      </w:pPr>
    </w:p>
    <w:p w14:paraId="63AE3D91">
      <w:pPr>
        <w:keepNext w:val="0"/>
        <w:keepLines w:val="0"/>
        <w:pageBreakBefore w:val="0"/>
        <w:wordWrap/>
        <w:overflowPunct/>
        <w:topLinePunct w:val="0"/>
        <w:bidi w:val="0"/>
        <w:spacing w:line="500" w:lineRule="exact"/>
        <w:rPr>
          <w:rFonts w:hint="eastAsia" w:ascii="宋体" w:hAnsi="宋体" w:eastAsia="宋体" w:cs="宋体"/>
          <w:color w:val="auto"/>
          <w:highlight w:val="none"/>
        </w:rPr>
      </w:pPr>
    </w:p>
    <w:p w14:paraId="3AA59659">
      <w:pPr>
        <w:keepNext w:val="0"/>
        <w:keepLines w:val="0"/>
        <w:pageBreakBefore w:val="0"/>
        <w:wordWrap/>
        <w:overflowPunct/>
        <w:topLinePunct w:val="0"/>
        <w:bidi w:val="0"/>
        <w:spacing w:line="500" w:lineRule="exact"/>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政 府 采 购 合 同</w:t>
      </w:r>
    </w:p>
    <w:p w14:paraId="23A53D91">
      <w:pPr>
        <w:keepNext w:val="0"/>
        <w:keepLines w:val="0"/>
        <w:pageBreakBefore w:val="0"/>
        <w:wordWrap/>
        <w:overflowPunct/>
        <w:topLinePunct w:val="0"/>
        <w:bidi w:val="0"/>
        <w:spacing w:line="500" w:lineRule="exact"/>
        <w:ind w:firstLine="2811" w:firstLineChars="1000"/>
        <w:rPr>
          <w:rFonts w:hint="eastAsia" w:ascii="宋体" w:hAnsi="宋体" w:eastAsia="宋体" w:cs="宋体"/>
          <w:color w:val="auto"/>
          <w:sz w:val="28"/>
          <w:szCs w:val="28"/>
          <w:highlight w:val="none"/>
        </w:rPr>
      </w:pPr>
      <w:bookmarkStart w:id="0" w:name="_Toc109543216"/>
      <w:bookmarkStart w:id="1" w:name="_Toc109542396"/>
      <w:r>
        <w:rPr>
          <w:rFonts w:hint="eastAsia" w:ascii="宋体" w:hAnsi="宋体" w:eastAsia="宋体" w:cs="宋体"/>
          <w:b/>
          <w:bCs/>
          <w:color w:val="auto"/>
          <w:sz w:val="28"/>
          <w:szCs w:val="28"/>
          <w:highlight w:val="none"/>
        </w:rPr>
        <w:t>项目编号：</w:t>
      </w:r>
      <w:bookmarkEnd w:id="0"/>
      <w:bookmarkEnd w:id="1"/>
      <w:r>
        <w:rPr>
          <w:rFonts w:hint="eastAsia" w:ascii="宋体" w:hAnsi="宋体" w:eastAsia="宋体" w:cs="宋体"/>
          <w:color w:val="auto"/>
          <w:sz w:val="28"/>
          <w:szCs w:val="28"/>
          <w:highlight w:val="none"/>
        </w:rPr>
        <w:t xml:space="preserve">    </w:t>
      </w:r>
    </w:p>
    <w:p w14:paraId="0312524D">
      <w:pPr>
        <w:keepNext w:val="0"/>
        <w:keepLines w:val="0"/>
        <w:pageBreakBefore w:val="0"/>
        <w:wordWrap/>
        <w:overflowPunct/>
        <w:topLinePunct w:val="0"/>
        <w:bidi w:val="0"/>
        <w:spacing w:line="5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p>
    <w:p w14:paraId="1A61AFDD">
      <w:pPr>
        <w:keepNext w:val="0"/>
        <w:keepLines w:val="0"/>
        <w:pageBreakBefore w:val="0"/>
        <w:wordWrap/>
        <w:overflowPunct/>
        <w:topLinePunct w:val="0"/>
        <w:bidi w:val="0"/>
        <w:spacing w:line="500" w:lineRule="exact"/>
        <w:rPr>
          <w:rFonts w:hint="eastAsia" w:ascii="宋体" w:hAnsi="宋体" w:eastAsia="宋体" w:cs="宋体"/>
          <w:color w:val="auto"/>
          <w:sz w:val="28"/>
          <w:szCs w:val="28"/>
          <w:highlight w:val="none"/>
        </w:rPr>
      </w:pPr>
    </w:p>
    <w:p w14:paraId="3D473338">
      <w:pPr>
        <w:keepNext w:val="0"/>
        <w:keepLines w:val="0"/>
        <w:pageBreakBefore w:val="0"/>
        <w:wordWrap/>
        <w:overflowPunct/>
        <w:topLinePunct w:val="0"/>
        <w:bidi w:val="0"/>
        <w:spacing w:line="500" w:lineRule="exact"/>
        <w:rPr>
          <w:rFonts w:hint="eastAsia" w:ascii="宋体" w:hAnsi="宋体" w:eastAsia="宋体" w:cs="宋体"/>
          <w:color w:val="auto"/>
          <w:sz w:val="28"/>
          <w:szCs w:val="28"/>
          <w:highlight w:val="none"/>
        </w:rPr>
      </w:pPr>
    </w:p>
    <w:p w14:paraId="4CB3F1AD">
      <w:pPr>
        <w:keepNext w:val="0"/>
        <w:keepLines w:val="0"/>
        <w:pageBreakBefore w:val="0"/>
        <w:wordWrap/>
        <w:overflowPunct/>
        <w:topLinePunct w:val="0"/>
        <w:bidi w:val="0"/>
        <w:spacing w:line="500" w:lineRule="exac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      </w:t>
      </w:r>
    </w:p>
    <w:p w14:paraId="3D1A91DB">
      <w:pPr>
        <w:keepNext w:val="0"/>
        <w:keepLines w:val="0"/>
        <w:pageBreakBefore w:val="0"/>
        <w:wordWrap/>
        <w:overflowPunct/>
        <w:topLinePunct w:val="0"/>
        <w:bidi w:val="0"/>
        <w:spacing w:line="500" w:lineRule="exact"/>
        <w:jc w:val="center"/>
        <w:rPr>
          <w:rFonts w:hint="eastAsia" w:ascii="宋体" w:hAnsi="宋体" w:eastAsia="宋体" w:cs="宋体"/>
          <w:b/>
          <w:color w:val="auto"/>
          <w:szCs w:val="24"/>
          <w:highlight w:val="none"/>
        </w:rPr>
      </w:pPr>
    </w:p>
    <w:p w14:paraId="2184F486">
      <w:pPr>
        <w:keepNext w:val="0"/>
        <w:keepLines w:val="0"/>
        <w:pageBreakBefore w:val="0"/>
        <w:wordWrap/>
        <w:overflowPunct/>
        <w:topLinePunct w:val="0"/>
        <w:bidi w:val="0"/>
        <w:spacing w:line="500" w:lineRule="exact"/>
        <w:jc w:val="center"/>
        <w:rPr>
          <w:rFonts w:hint="eastAsia" w:ascii="宋体" w:hAnsi="宋体" w:eastAsia="宋体" w:cs="宋体"/>
          <w:b/>
          <w:color w:val="auto"/>
          <w:szCs w:val="24"/>
          <w:highlight w:val="none"/>
        </w:rPr>
      </w:pPr>
    </w:p>
    <w:p w14:paraId="13A2D684">
      <w:pPr>
        <w:keepNext w:val="0"/>
        <w:keepLines w:val="0"/>
        <w:pageBreakBefore w:val="0"/>
        <w:wordWrap/>
        <w:overflowPunct/>
        <w:topLinePunct w:val="0"/>
        <w:bidi w:val="0"/>
        <w:spacing w:line="500" w:lineRule="exact"/>
        <w:rPr>
          <w:rFonts w:hint="eastAsia" w:ascii="宋体" w:hAnsi="宋体" w:eastAsia="宋体" w:cs="宋体"/>
          <w:b/>
          <w:color w:val="auto"/>
          <w:spacing w:val="20"/>
          <w:sz w:val="28"/>
          <w:szCs w:val="24"/>
          <w:highlight w:val="none"/>
          <w:lang w:eastAsia="zh-CN"/>
        </w:rPr>
      </w:pPr>
      <w:r>
        <w:rPr>
          <w:rFonts w:hint="eastAsia" w:ascii="宋体" w:hAnsi="宋体" w:eastAsia="宋体" w:cs="宋体"/>
          <w:b/>
          <w:color w:val="auto"/>
          <w:szCs w:val="24"/>
          <w:highlight w:val="none"/>
        </w:rPr>
        <w:t xml:space="preserve">            </w:t>
      </w:r>
      <w:r>
        <w:rPr>
          <w:rFonts w:hint="eastAsia" w:ascii="宋体" w:hAnsi="宋体" w:eastAsia="宋体" w:cs="宋体"/>
          <w:b/>
          <w:color w:val="auto"/>
          <w:spacing w:val="20"/>
          <w:sz w:val="28"/>
          <w:szCs w:val="24"/>
          <w:highlight w:val="none"/>
        </w:rPr>
        <w:t>甲    方：</w:t>
      </w:r>
    </w:p>
    <w:p w14:paraId="234B9AF9">
      <w:pPr>
        <w:keepNext w:val="0"/>
        <w:keepLines w:val="0"/>
        <w:pageBreakBefore w:val="0"/>
        <w:wordWrap/>
        <w:overflowPunct/>
        <w:topLinePunct w:val="0"/>
        <w:bidi w:val="0"/>
        <w:spacing w:line="500" w:lineRule="exact"/>
        <w:jc w:val="center"/>
        <w:rPr>
          <w:rFonts w:hint="eastAsia" w:ascii="宋体" w:hAnsi="宋体" w:eastAsia="宋体" w:cs="宋体"/>
          <w:b/>
          <w:color w:val="auto"/>
          <w:spacing w:val="20"/>
          <w:sz w:val="28"/>
          <w:szCs w:val="24"/>
          <w:highlight w:val="none"/>
        </w:rPr>
      </w:pPr>
    </w:p>
    <w:p w14:paraId="6CECDF4B">
      <w:pPr>
        <w:keepNext w:val="0"/>
        <w:keepLines w:val="0"/>
        <w:pageBreakBefore w:val="0"/>
        <w:wordWrap/>
        <w:overflowPunct/>
        <w:topLinePunct w:val="0"/>
        <w:bidi w:val="0"/>
        <w:spacing w:line="500" w:lineRule="exact"/>
        <w:rPr>
          <w:rFonts w:hint="eastAsia" w:ascii="宋体" w:hAnsi="宋体" w:eastAsia="宋体" w:cs="宋体"/>
          <w:b/>
          <w:color w:val="auto"/>
          <w:spacing w:val="20"/>
          <w:sz w:val="28"/>
          <w:szCs w:val="24"/>
          <w:highlight w:val="none"/>
        </w:rPr>
      </w:pPr>
      <w:r>
        <w:rPr>
          <w:rFonts w:hint="eastAsia" w:ascii="宋体" w:hAnsi="宋体" w:eastAsia="宋体" w:cs="宋体"/>
          <w:b/>
          <w:color w:val="auto"/>
          <w:spacing w:val="20"/>
          <w:sz w:val="28"/>
          <w:szCs w:val="24"/>
          <w:highlight w:val="none"/>
        </w:rPr>
        <w:t xml:space="preserve">       乙    方：                     </w:t>
      </w:r>
    </w:p>
    <w:p w14:paraId="35E23355">
      <w:pPr>
        <w:keepNext w:val="0"/>
        <w:keepLines w:val="0"/>
        <w:pageBreakBefore w:val="0"/>
        <w:wordWrap/>
        <w:overflowPunct/>
        <w:topLinePunct w:val="0"/>
        <w:bidi w:val="0"/>
        <w:spacing w:line="500" w:lineRule="exact"/>
        <w:rPr>
          <w:rFonts w:hint="eastAsia" w:ascii="宋体" w:hAnsi="宋体" w:eastAsia="宋体" w:cs="宋体"/>
          <w:b/>
          <w:color w:val="auto"/>
          <w:spacing w:val="20"/>
          <w:sz w:val="28"/>
          <w:szCs w:val="24"/>
          <w:highlight w:val="none"/>
        </w:rPr>
      </w:pPr>
      <w:r>
        <w:rPr>
          <w:rFonts w:hint="eastAsia" w:ascii="宋体" w:hAnsi="宋体" w:eastAsia="宋体" w:cs="宋体"/>
          <w:b/>
          <w:color w:val="auto"/>
          <w:spacing w:val="20"/>
          <w:sz w:val="28"/>
          <w:szCs w:val="24"/>
          <w:highlight w:val="none"/>
        </w:rPr>
        <w:t xml:space="preserve">        </w:t>
      </w:r>
    </w:p>
    <w:p w14:paraId="4D23F6E3">
      <w:pPr>
        <w:keepNext w:val="0"/>
        <w:keepLines w:val="0"/>
        <w:pageBreakBefore w:val="0"/>
        <w:wordWrap/>
        <w:overflowPunct/>
        <w:topLinePunct w:val="0"/>
        <w:bidi w:val="0"/>
        <w:spacing w:line="500" w:lineRule="exact"/>
        <w:ind w:firstLine="1284" w:firstLineChars="400"/>
        <w:rPr>
          <w:rFonts w:hint="eastAsia" w:ascii="宋体" w:hAnsi="宋体" w:eastAsia="宋体" w:cs="宋体"/>
          <w:b/>
          <w:color w:val="auto"/>
          <w:spacing w:val="20"/>
          <w:sz w:val="28"/>
          <w:szCs w:val="24"/>
          <w:highlight w:val="none"/>
        </w:rPr>
      </w:pPr>
      <w:r>
        <w:rPr>
          <w:rFonts w:hint="eastAsia" w:ascii="宋体" w:hAnsi="宋体" w:eastAsia="宋体" w:cs="宋体"/>
          <w:b/>
          <w:color w:val="auto"/>
          <w:spacing w:val="20"/>
          <w:sz w:val="28"/>
          <w:szCs w:val="24"/>
          <w:highlight w:val="none"/>
        </w:rPr>
        <w:t>签订时间：</w:t>
      </w:r>
    </w:p>
    <w:p w14:paraId="14373EF7">
      <w:pPr>
        <w:keepNext w:val="0"/>
        <w:keepLines w:val="0"/>
        <w:pageBreakBefore w:val="0"/>
        <w:wordWrap/>
        <w:overflowPunct/>
        <w:topLinePunct w:val="0"/>
        <w:bidi w:val="0"/>
        <w:spacing w:line="500" w:lineRule="exact"/>
        <w:rPr>
          <w:rFonts w:hint="eastAsia" w:ascii="宋体" w:hAnsi="宋体" w:eastAsia="宋体" w:cs="宋体"/>
          <w:b/>
          <w:color w:val="auto"/>
          <w:spacing w:val="20"/>
          <w:sz w:val="28"/>
          <w:szCs w:val="24"/>
          <w:highlight w:val="none"/>
        </w:rPr>
      </w:pPr>
      <w:r>
        <w:rPr>
          <w:rFonts w:hint="eastAsia" w:ascii="宋体" w:hAnsi="宋体" w:eastAsia="宋体" w:cs="宋体"/>
          <w:b/>
          <w:color w:val="auto"/>
          <w:spacing w:val="20"/>
          <w:sz w:val="28"/>
          <w:szCs w:val="24"/>
          <w:highlight w:val="none"/>
        </w:rPr>
        <w:br w:type="page"/>
      </w:r>
    </w:p>
    <w:p w14:paraId="4781E620">
      <w:pPr>
        <w:pStyle w:val="4"/>
        <w:keepNext w:val="0"/>
        <w:keepLines w:val="0"/>
        <w:pageBreakBefore w:val="0"/>
        <w:wordWrap/>
        <w:overflowPunct/>
        <w:topLinePunct w:val="0"/>
        <w:bidi w:val="0"/>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（本合同文本仅供参考，以双方实际签订文本为准）</w:t>
      </w:r>
    </w:p>
    <w:p w14:paraId="67333B35">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民法典》、《中华人民共和国政府采购法》与项目行业有关的法律法规，甲、乙双方同意签订本合同。详细技术说明及其他有关合同项目的特定信息由合同附件予以说明，合同、附件及原有《招标文件》、《投标文件》、《</w:t>
      </w:r>
      <w:r>
        <w:rPr>
          <w:rFonts w:hint="eastAsia" w:ascii="仿宋" w:hAnsi="仿宋" w:eastAsia="仿宋" w:cs="仿宋"/>
          <w:bCs/>
          <w:color w:val="auto"/>
          <w:sz w:val="24"/>
          <w:szCs w:val="24"/>
          <w:highlight w:val="none"/>
          <w:lang w:eastAsia="zh-CN"/>
        </w:rPr>
        <w:t>中标</w:t>
      </w:r>
      <w:r>
        <w:rPr>
          <w:rFonts w:hint="eastAsia" w:ascii="仿宋" w:hAnsi="仿宋" w:eastAsia="仿宋" w:cs="仿宋"/>
          <w:bCs/>
          <w:color w:val="auto"/>
          <w:sz w:val="24"/>
          <w:szCs w:val="24"/>
          <w:highlight w:val="none"/>
        </w:rPr>
        <w:t>通知书》等均为本合同的组成部分：</w:t>
      </w:r>
    </w:p>
    <w:p w14:paraId="4DB32C4B">
      <w:pPr>
        <w:pStyle w:val="2"/>
        <w:keepNext w:val="0"/>
        <w:keepLines w:val="0"/>
        <w:pageBreakBefore w:val="0"/>
        <w:wordWrap/>
        <w:overflowPunct/>
        <w:topLinePunct w:val="0"/>
        <w:bidi w:val="0"/>
        <w:spacing w:line="500" w:lineRule="exact"/>
        <w:rPr>
          <w:rFonts w:hint="eastAsia" w:ascii="仿宋" w:hAnsi="仿宋" w:eastAsia="仿宋" w:cs="仿宋"/>
          <w:color w:val="auto"/>
          <w:sz w:val="24"/>
          <w:szCs w:val="24"/>
          <w:highlight w:val="none"/>
        </w:rPr>
      </w:pPr>
    </w:p>
    <w:p w14:paraId="5BF0BDAF">
      <w:pPr>
        <w:keepNext w:val="0"/>
        <w:keepLines w:val="0"/>
        <w:pageBreakBefore w:val="0"/>
        <w:kinsoku/>
        <w:wordWrap/>
        <w:overflowPunct/>
        <w:topLinePunct w:val="0"/>
        <w:autoSpaceDE/>
        <w:autoSpaceDN/>
        <w:bidi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p>
    <w:p w14:paraId="2CFD681E">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统一社会信用代码：</w:t>
      </w:r>
    </w:p>
    <w:p w14:paraId="37029561">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法定代表人：</w:t>
      </w:r>
    </w:p>
    <w:p w14:paraId="3CB2D213">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联系电话：</w:t>
      </w:r>
      <w:r>
        <w:rPr>
          <w:rFonts w:hint="eastAsia" w:ascii="仿宋" w:hAnsi="仿宋" w:eastAsia="仿宋" w:cs="仿宋"/>
          <w:bCs/>
          <w:color w:val="auto"/>
          <w:sz w:val="24"/>
          <w:szCs w:val="24"/>
          <w:highlight w:val="none"/>
        </w:rPr>
        <w:t xml:space="preserve"> </w:t>
      </w:r>
    </w:p>
    <w:p w14:paraId="11164DEF">
      <w:pPr>
        <w:pStyle w:val="7"/>
        <w:keepNext w:val="0"/>
        <w:keepLines w:val="0"/>
        <w:pageBreakBefore w:val="0"/>
        <w:kinsoku/>
        <w:wordWrap/>
        <w:overflowPunct/>
        <w:topLinePunct w:val="0"/>
        <w:autoSpaceDE/>
        <w:autoSpaceDN/>
        <w:bidi w:val="0"/>
        <w:spacing w:line="500" w:lineRule="exact"/>
        <w:ind w:firstLine="480"/>
        <w:textAlignment w:val="auto"/>
        <w:rPr>
          <w:rFonts w:hint="eastAsia" w:ascii="仿宋" w:hAnsi="仿宋" w:eastAsia="仿宋" w:cs="仿宋"/>
          <w:color w:val="auto"/>
          <w:sz w:val="24"/>
          <w:szCs w:val="24"/>
          <w:highlight w:val="none"/>
        </w:rPr>
      </w:pPr>
    </w:p>
    <w:p w14:paraId="6056A779">
      <w:pPr>
        <w:pStyle w:val="7"/>
        <w:keepNext w:val="0"/>
        <w:keepLines w:val="0"/>
        <w:pageBreakBefore w:val="0"/>
        <w:kinsoku/>
        <w:wordWrap/>
        <w:overflowPunct/>
        <w:topLinePunct w:val="0"/>
        <w:autoSpaceDE/>
        <w:autoSpaceDN/>
        <w:bidi w:val="0"/>
        <w:spacing w:line="500" w:lineRule="exact"/>
        <w:ind w:firstLine="48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u w:val="single"/>
        </w:rPr>
        <w:t>xxx公司（全称）</w:t>
      </w:r>
    </w:p>
    <w:p w14:paraId="023CBF21">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统一社会信用代码：</w:t>
      </w:r>
    </w:p>
    <w:p w14:paraId="1B4257B6">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法定代表人：</w:t>
      </w:r>
    </w:p>
    <w:p w14:paraId="0232EFC6">
      <w:pPr>
        <w:keepNext w:val="0"/>
        <w:keepLines w:val="0"/>
        <w:pageBreakBefore w:val="0"/>
        <w:wordWrap/>
        <w:overflowPunct/>
        <w:topLinePunct w:val="0"/>
        <w:bidi w:val="0"/>
        <w:adjustRightInd/>
        <w:snapToGrid/>
        <w:spacing w:line="5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联系电话：</w:t>
      </w:r>
      <w:r>
        <w:rPr>
          <w:rFonts w:hint="eastAsia" w:ascii="仿宋" w:hAnsi="仿宋" w:eastAsia="仿宋" w:cs="仿宋"/>
          <w:bCs/>
          <w:color w:val="auto"/>
          <w:sz w:val="24"/>
          <w:szCs w:val="24"/>
          <w:highlight w:val="none"/>
        </w:rPr>
        <w:t xml:space="preserve"> </w:t>
      </w:r>
    </w:p>
    <w:p w14:paraId="46AFCBCB">
      <w:pPr>
        <w:pStyle w:val="7"/>
        <w:keepNext w:val="0"/>
        <w:keepLines w:val="0"/>
        <w:pageBreakBefore w:val="0"/>
        <w:kinsoku/>
        <w:wordWrap/>
        <w:overflowPunct/>
        <w:topLinePunct w:val="0"/>
        <w:autoSpaceDE/>
        <w:autoSpaceDN/>
        <w:bidi w:val="0"/>
        <w:spacing w:line="500" w:lineRule="exact"/>
        <w:ind w:firstLine="480"/>
        <w:textAlignment w:val="auto"/>
        <w:rPr>
          <w:rFonts w:hint="eastAsia" w:ascii="仿宋" w:hAnsi="仿宋" w:eastAsia="仿宋" w:cs="仿宋"/>
          <w:color w:val="auto"/>
          <w:sz w:val="24"/>
          <w:szCs w:val="24"/>
          <w:highlight w:val="none"/>
          <w:u w:val="single"/>
        </w:rPr>
      </w:pPr>
    </w:p>
    <w:p w14:paraId="0A19943A">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项目服务内容</w:t>
      </w:r>
      <w:r>
        <w:rPr>
          <w:rFonts w:hint="eastAsia" w:ascii="仿宋" w:hAnsi="仿宋" w:eastAsia="仿宋" w:cs="仿宋"/>
          <w:b/>
          <w:bCs/>
          <w:color w:val="auto"/>
          <w:sz w:val="24"/>
          <w:szCs w:val="24"/>
          <w:highlight w:val="none"/>
          <w:lang w:eastAsia="zh-CN"/>
        </w:rPr>
        <w:t>（标的清单）</w:t>
      </w:r>
    </w:p>
    <w:p w14:paraId="1FF7B204">
      <w:pPr>
        <w:pStyle w:val="8"/>
        <w:keepNext w:val="0"/>
        <w:keepLines w:val="0"/>
        <w:pageBreakBefore w:val="0"/>
        <w:widowControl/>
        <w:tabs>
          <w:tab w:val="left" w:pos="540"/>
          <w:tab w:val="left" w:pos="1020"/>
          <w:tab w:val="left" w:pos="3196"/>
        </w:tabs>
        <w:kinsoku/>
        <w:wordWrap/>
        <w:overflowPunct/>
        <w:topLinePunct w:val="0"/>
        <w:autoSpaceDE/>
        <w:autoSpaceDN/>
        <w:bidi w:val="0"/>
        <w:spacing w:line="500" w:lineRule="exact"/>
        <w:ind w:left="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本项目服务内容如下：</w:t>
      </w:r>
    </w:p>
    <w:p w14:paraId="2E258B49">
      <w:pPr>
        <w:pStyle w:val="8"/>
        <w:keepNext w:val="0"/>
        <w:keepLines w:val="0"/>
        <w:pageBreakBefore w:val="0"/>
        <w:widowControl/>
        <w:tabs>
          <w:tab w:val="left" w:pos="540"/>
          <w:tab w:val="left" w:pos="1020"/>
          <w:tab w:val="left" w:pos="3196"/>
        </w:tabs>
        <w:kinsoku/>
        <w:wordWrap/>
        <w:overflowPunct/>
        <w:topLinePunct w:val="0"/>
        <w:autoSpaceDE/>
        <w:autoSpaceDN/>
        <w:bidi w:val="0"/>
        <w:spacing w:line="500" w:lineRule="exact"/>
        <w:textAlignment w:val="auto"/>
        <w:rPr>
          <w:rFonts w:hint="eastAsia" w:ascii="仿宋" w:hAnsi="仿宋" w:eastAsia="仿宋" w:cs="仿宋"/>
          <w:color w:val="auto"/>
          <w:kern w:val="0"/>
          <w:sz w:val="24"/>
          <w:szCs w:val="24"/>
          <w:highlight w:val="none"/>
        </w:rPr>
      </w:pPr>
    </w:p>
    <w:p w14:paraId="4B8BE0F8">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服务时间</w:t>
      </w:r>
    </w:p>
    <w:p w14:paraId="7B7CCE52">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rPr>
        <w:t>本项目服务期为：</w:t>
      </w:r>
      <w:r>
        <w:rPr>
          <w:rFonts w:hint="eastAsia" w:ascii="仿宋" w:hAnsi="仿宋" w:eastAsia="仿宋" w:cs="仿宋"/>
          <w:color w:val="auto"/>
          <w:sz w:val="24"/>
          <w:szCs w:val="24"/>
          <w:highlight w:val="none"/>
          <w:lang w:val="en-US" w:eastAsia="zh-CN"/>
        </w:rPr>
        <w:t>自合同签订之日起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个月内完成。</w:t>
      </w:r>
    </w:p>
    <w:p w14:paraId="10F0F7D8">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双方权利与义务</w:t>
      </w:r>
    </w:p>
    <w:p w14:paraId="040AFB27">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甲方应及时向乙方提供在</w:t>
      </w:r>
      <w:r>
        <w:rPr>
          <w:rFonts w:hint="eastAsia" w:ascii="仿宋" w:hAnsi="仿宋" w:eastAsia="仿宋" w:cs="仿宋"/>
          <w:color w:val="auto"/>
          <w:kern w:val="0"/>
          <w:sz w:val="24"/>
          <w:szCs w:val="24"/>
          <w:highlight w:val="none"/>
          <w:lang w:eastAsia="zh-CN"/>
        </w:rPr>
        <w:t>建设</w:t>
      </w:r>
      <w:r>
        <w:rPr>
          <w:rFonts w:hint="eastAsia" w:ascii="仿宋" w:hAnsi="仿宋" w:eastAsia="仿宋" w:cs="仿宋"/>
          <w:color w:val="auto"/>
          <w:kern w:val="0"/>
          <w:sz w:val="24"/>
          <w:szCs w:val="24"/>
          <w:highlight w:val="none"/>
        </w:rPr>
        <w:t>中所需的项目资料，并</w:t>
      </w:r>
      <w:r>
        <w:rPr>
          <w:rFonts w:hint="eastAsia" w:ascii="仿宋" w:hAnsi="仿宋" w:eastAsia="仿宋" w:cs="仿宋"/>
          <w:color w:val="auto"/>
          <w:sz w:val="24"/>
          <w:szCs w:val="24"/>
          <w:highlight w:val="none"/>
        </w:rPr>
        <w:t>保证其提供的资料信息的真实、准确、</w:t>
      </w:r>
      <w:r>
        <w:rPr>
          <w:rFonts w:hint="eastAsia" w:ascii="仿宋" w:hAnsi="仿宋" w:eastAsia="仿宋" w:cs="仿宋"/>
          <w:color w:val="auto"/>
          <w:kern w:val="0"/>
          <w:sz w:val="24"/>
          <w:szCs w:val="24"/>
          <w:highlight w:val="none"/>
        </w:rPr>
        <w:t>完整、合法。</w:t>
      </w:r>
    </w:p>
    <w:p w14:paraId="4FA6DE95">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甲方应按约定的时间及方式足额支付乙方费用。</w:t>
      </w:r>
    </w:p>
    <w:p w14:paraId="42C62005">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甲方若遇任何之紧急情况，须召开紧急会议，将至少提前2个工作日通知乙方会议时间和议程，甲乙双方应就根据实际日程安排确定合适人选参会。</w:t>
      </w:r>
    </w:p>
    <w:p w14:paraId="5DCB6262">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乙方应按时完成本合同约定的工作内容，并按照本合同的约定向甲方提交相关项目成果。</w:t>
      </w:r>
    </w:p>
    <w:p w14:paraId="11C14027">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未经甲方允许，乙方不得将本合同项下的相关服务全部或部分转包给第三方。</w:t>
      </w:r>
    </w:p>
    <w:p w14:paraId="743A6F51">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乙方需服从并配合本项目监理机构的工作督导，切实保障项目顺利实施。</w:t>
      </w:r>
    </w:p>
    <w:p w14:paraId="2562CBB1">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若未能在交付期内完成合同</w:t>
      </w:r>
      <w:r>
        <w:rPr>
          <w:rFonts w:hint="eastAsia" w:ascii="仿宋" w:hAnsi="仿宋" w:eastAsia="仿宋" w:cs="仿宋"/>
          <w:color w:val="auto"/>
          <w:kern w:val="0"/>
          <w:sz w:val="24"/>
          <w:szCs w:val="24"/>
          <w:highlight w:val="none"/>
          <w:lang w:val="en-US" w:eastAsia="zh-CN"/>
        </w:rPr>
        <w:t>约定</w:t>
      </w:r>
      <w:r>
        <w:rPr>
          <w:rFonts w:hint="eastAsia" w:ascii="仿宋" w:hAnsi="仿宋" w:eastAsia="仿宋" w:cs="仿宋"/>
          <w:color w:val="auto"/>
          <w:kern w:val="0"/>
          <w:sz w:val="24"/>
          <w:szCs w:val="24"/>
          <w:highlight w:val="none"/>
        </w:rPr>
        <w:t>的义务，由此对</w:t>
      </w:r>
      <w:r>
        <w:rPr>
          <w:rFonts w:hint="eastAsia" w:ascii="仿宋" w:hAnsi="仿宋" w:eastAsia="仿宋" w:cs="仿宋"/>
          <w:color w:val="auto"/>
          <w:kern w:val="0"/>
          <w:sz w:val="24"/>
          <w:szCs w:val="24"/>
          <w:highlight w:val="none"/>
          <w:lang w:eastAsia="zh-CN"/>
        </w:rPr>
        <w:t>甲方</w:t>
      </w:r>
      <w:r>
        <w:rPr>
          <w:rFonts w:hint="eastAsia" w:ascii="仿宋" w:hAnsi="仿宋" w:eastAsia="仿宋" w:cs="仿宋"/>
          <w:color w:val="auto"/>
          <w:kern w:val="0"/>
          <w:sz w:val="24"/>
          <w:szCs w:val="24"/>
          <w:highlight w:val="none"/>
        </w:rPr>
        <w:t>造成的延误和一切损失，由乙方承担和赔偿。</w:t>
      </w:r>
    </w:p>
    <w:p w14:paraId="16B5EDC9">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乙方应配合项目密评及整改相关工作；</w:t>
      </w:r>
    </w:p>
    <w:p w14:paraId="43A194F0">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乙方应配合第三方审计及整改相关工作；</w:t>
      </w:r>
    </w:p>
    <w:p w14:paraId="233DD250">
      <w:pPr>
        <w:pStyle w:val="8"/>
        <w:keepNext w:val="0"/>
        <w:keepLines w:val="0"/>
        <w:pageBreakBefore w:val="0"/>
        <w:widowControl/>
        <w:numPr>
          <w:ilvl w:val="0"/>
          <w:numId w:val="2"/>
        </w:numPr>
        <w:tabs>
          <w:tab w:val="left" w:pos="540"/>
          <w:tab w:val="clear" w:pos="720"/>
        </w:tabs>
        <w:kinsoku/>
        <w:wordWrap/>
        <w:overflowPunct/>
        <w:topLinePunct w:val="0"/>
        <w:autoSpaceDE/>
        <w:autoSpaceDN/>
        <w:bidi w:val="0"/>
        <w:spacing w:line="500" w:lineRule="exact"/>
        <w:ind w:left="540" w:hanging="54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乙方应配合完成本项目的其它工作。</w:t>
      </w:r>
    </w:p>
    <w:p w14:paraId="17D3976B">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服务费用及其支付</w:t>
      </w:r>
    </w:p>
    <w:p w14:paraId="21BAA47A">
      <w:pPr>
        <w:keepNext w:val="0"/>
        <w:keepLines w:val="0"/>
        <w:pageBreakBefore w:val="0"/>
        <w:numPr>
          <w:ilvl w:val="1"/>
          <w:numId w:val="3"/>
        </w:numPr>
        <w:tabs>
          <w:tab w:val="left" w:pos="540"/>
          <w:tab w:val="clear" w:pos="360"/>
        </w:tabs>
        <w:kinsoku/>
        <w:wordWrap/>
        <w:overflowPunct/>
        <w:topLinePunct w:val="0"/>
        <w:autoSpaceDE/>
        <w:autoSpaceDN/>
        <w:bidi w:val="0"/>
        <w:spacing w:line="500" w:lineRule="exact"/>
        <w:ind w:left="540" w:hanging="540"/>
        <w:jc w:val="both"/>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本项目</w:t>
      </w:r>
      <w:r>
        <w:rPr>
          <w:rFonts w:hint="eastAsia" w:ascii="仿宋" w:hAnsi="仿宋" w:eastAsia="仿宋" w:cs="仿宋"/>
          <w:color w:val="auto"/>
          <w:sz w:val="24"/>
          <w:szCs w:val="24"/>
          <w:highlight w:val="none"/>
          <w:lang w:eastAsia="zh-CN"/>
        </w:rPr>
        <w:t>合同总价款</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         （大写：人民币           ）</w:t>
      </w:r>
    </w:p>
    <w:p w14:paraId="1E8D09F6">
      <w:pPr>
        <w:keepNext w:val="0"/>
        <w:keepLines w:val="0"/>
        <w:pageBreakBefore w:val="0"/>
        <w:numPr>
          <w:ilvl w:val="1"/>
          <w:numId w:val="3"/>
        </w:numPr>
        <w:tabs>
          <w:tab w:val="left" w:pos="540"/>
          <w:tab w:val="clear" w:pos="360"/>
        </w:tabs>
        <w:kinsoku/>
        <w:wordWrap/>
        <w:overflowPunct/>
        <w:topLinePunct w:val="0"/>
        <w:autoSpaceDE/>
        <w:autoSpaceDN/>
        <w:bidi w:val="0"/>
        <w:spacing w:line="500" w:lineRule="exact"/>
        <w:ind w:left="540" w:hanging="54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本费用已包含乙方需依法缴纳的各项税费，以及项目实施期间乙方为完成本合同项下全部义务的一切费用。除非本合同明确约定，甲方无需向乙方支付其他任何费用。</w:t>
      </w:r>
    </w:p>
    <w:p w14:paraId="476E4264">
      <w:pPr>
        <w:keepNext w:val="0"/>
        <w:keepLines w:val="0"/>
        <w:pageBreakBefore w:val="0"/>
        <w:numPr>
          <w:ilvl w:val="1"/>
          <w:numId w:val="3"/>
        </w:numPr>
        <w:tabs>
          <w:tab w:val="left" w:pos="540"/>
          <w:tab w:val="clear" w:pos="360"/>
        </w:tabs>
        <w:kinsoku/>
        <w:wordWrap/>
        <w:overflowPunct/>
        <w:topLinePunct w:val="0"/>
        <w:autoSpaceDE/>
        <w:autoSpaceDN/>
        <w:bidi w:val="0"/>
        <w:spacing w:line="500" w:lineRule="exact"/>
        <w:ind w:left="540" w:hanging="54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付款方式：</w:t>
      </w:r>
    </w:p>
    <w:p w14:paraId="73C008C6">
      <w:pPr>
        <w:keepNext w:val="0"/>
        <w:keepLines w:val="0"/>
        <w:pageBreakBefore w:val="0"/>
        <w:numPr>
          <w:ilvl w:val="0"/>
          <w:numId w:val="0"/>
        </w:numPr>
        <w:tabs>
          <w:tab w:val="left" w:pos="540"/>
        </w:tabs>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合同签订后，达到付款条件起30日内，支付合同总金额的30%</w:t>
      </w:r>
    </w:p>
    <w:p w14:paraId="77391C3C">
      <w:pPr>
        <w:keepNext w:val="0"/>
        <w:keepLines w:val="0"/>
        <w:pageBreakBefore w:val="0"/>
        <w:numPr>
          <w:ilvl w:val="0"/>
          <w:numId w:val="0"/>
        </w:numPr>
        <w:tabs>
          <w:tab w:val="left" w:pos="540"/>
        </w:tabs>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初验合格后，达到付款条件起30日内，支付合同总金额的60%</w:t>
      </w:r>
    </w:p>
    <w:p w14:paraId="4BFA7C6A">
      <w:pPr>
        <w:keepNext w:val="0"/>
        <w:keepLines w:val="0"/>
        <w:pageBreakBefore w:val="0"/>
        <w:numPr>
          <w:ilvl w:val="0"/>
          <w:numId w:val="0"/>
        </w:numPr>
        <w:tabs>
          <w:tab w:val="left" w:pos="540"/>
        </w:tabs>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竣工终验合格后，达到付款条件起30日内，支付合同总金额的10%</w:t>
      </w:r>
    </w:p>
    <w:p w14:paraId="66CCBD14">
      <w:pPr>
        <w:keepNext w:val="0"/>
        <w:keepLines w:val="0"/>
        <w:pageBreakBefore w:val="0"/>
        <w:numPr>
          <w:ilvl w:val="0"/>
          <w:numId w:val="0"/>
        </w:numPr>
        <w:tabs>
          <w:tab w:val="left" w:pos="540"/>
        </w:tabs>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乙方每次申请付款前均需向甲方开具正式税务发票。</w:t>
      </w:r>
    </w:p>
    <w:p w14:paraId="72C3DBCE">
      <w:pPr>
        <w:keepNext w:val="0"/>
        <w:keepLines w:val="0"/>
        <w:pageBreakBefore w:val="0"/>
        <w:numPr>
          <w:ilvl w:val="0"/>
          <w:numId w:val="0"/>
        </w:numPr>
        <w:tabs>
          <w:tab w:val="left" w:pos="540"/>
        </w:tabs>
        <w:kinsoku/>
        <w:wordWrap/>
        <w:overflowPunct/>
        <w:topLinePunct w:val="0"/>
        <w:autoSpaceDE/>
        <w:autoSpaceDN/>
        <w:bidi w:val="0"/>
        <w:spacing w:line="500" w:lineRule="exact"/>
        <w:ind w:leftChars="0" w:firstLine="480" w:firstLineChars="200"/>
        <w:jc w:val="both"/>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开票信息如下：</w:t>
      </w:r>
      <w:r>
        <w:rPr>
          <w:rFonts w:hint="eastAsia" w:ascii="仿宋" w:hAnsi="仿宋" w:eastAsia="仿宋" w:cs="仿宋"/>
          <w:color w:val="auto"/>
          <w:sz w:val="24"/>
          <w:szCs w:val="24"/>
          <w:highlight w:val="none"/>
          <w:u w:val="single"/>
          <w:lang w:val="en-US" w:eastAsia="zh-CN"/>
        </w:rPr>
        <w:t xml:space="preserve">               </w:t>
      </w:r>
    </w:p>
    <w:p w14:paraId="3A596C72">
      <w:pPr>
        <w:keepNext w:val="0"/>
        <w:keepLines w:val="0"/>
        <w:pageBreakBefore w:val="0"/>
        <w:numPr>
          <w:ilvl w:val="1"/>
          <w:numId w:val="3"/>
        </w:numPr>
        <w:tabs>
          <w:tab w:val="left" w:pos="540"/>
          <w:tab w:val="clear" w:pos="360"/>
        </w:tabs>
        <w:kinsoku/>
        <w:wordWrap/>
        <w:overflowPunct/>
        <w:topLinePunct w:val="0"/>
        <w:autoSpaceDE/>
        <w:autoSpaceDN/>
        <w:bidi w:val="0"/>
        <w:spacing w:line="500" w:lineRule="exact"/>
        <w:ind w:left="540" w:hanging="54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甲方通过银行转账方式向乙方支付本合同项下的费用。</w:t>
      </w:r>
    </w:p>
    <w:p w14:paraId="3C276D5E">
      <w:pPr>
        <w:keepNext w:val="0"/>
        <w:keepLines w:val="0"/>
        <w:pageBreakBefore w:val="0"/>
        <w:numPr>
          <w:ilvl w:val="0"/>
          <w:numId w:val="0"/>
        </w:numPr>
        <w:tabs>
          <w:tab w:val="left" w:pos="540"/>
        </w:tabs>
        <w:kinsoku/>
        <w:wordWrap/>
        <w:overflowPunct/>
        <w:topLinePunct w:val="0"/>
        <w:autoSpaceDE/>
        <w:autoSpaceDN/>
        <w:bidi w:val="0"/>
        <w:spacing w:line="500" w:lineRule="exact"/>
        <w:ind w:leftChars="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乙方的银行账户信息如下：</w:t>
      </w:r>
      <w:r>
        <w:rPr>
          <w:rFonts w:hint="eastAsia" w:ascii="仿宋" w:hAnsi="仿宋" w:eastAsia="仿宋" w:cs="仿宋"/>
          <w:color w:val="auto"/>
          <w:sz w:val="24"/>
          <w:szCs w:val="24"/>
          <w:highlight w:val="none"/>
          <w:u w:val="single"/>
          <w:lang w:val="en-US" w:eastAsia="zh-CN"/>
        </w:rPr>
        <w:t xml:space="preserve">               </w:t>
      </w:r>
    </w:p>
    <w:p w14:paraId="35F76CA1">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_GB2312" w:hAnsi="仿宋_GB2312" w:eastAsia="仿宋_GB2312" w:cs="仿宋_GB2312"/>
          <w:color w:val="auto"/>
          <w:sz w:val="24"/>
          <w:szCs w:val="24"/>
          <w:lang w:val="en-US" w:eastAsia="zh-CN"/>
        </w:rPr>
      </w:pPr>
      <w:r>
        <w:rPr>
          <w:rFonts w:hint="eastAsia" w:ascii="仿宋" w:hAnsi="仿宋" w:eastAsia="仿宋" w:cs="仿宋"/>
          <w:b/>
          <w:bCs/>
          <w:color w:val="auto"/>
          <w:sz w:val="24"/>
          <w:szCs w:val="24"/>
          <w:highlight w:val="none"/>
        </w:rPr>
        <w:t>质量保证</w:t>
      </w:r>
    </w:p>
    <w:p w14:paraId="3F84EC99">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5.1质保期：</w:t>
      </w:r>
      <w:r>
        <w:rPr>
          <w:rFonts w:hint="eastAsia" w:ascii="仿宋_GB2312" w:hAnsi="仿宋_GB2312" w:eastAsia="仿宋_GB2312" w:cs="仿宋_GB2312"/>
          <w:color w:val="auto"/>
          <w:sz w:val="24"/>
          <w:szCs w:val="24"/>
          <w:lang w:val="en-US" w:eastAsia="zh-Hans"/>
        </w:rPr>
        <w:t>要求</w:t>
      </w:r>
      <w:r>
        <w:rPr>
          <w:rFonts w:hint="eastAsia" w:ascii="仿宋_GB2312" w:hAnsi="仿宋_GB2312" w:eastAsia="仿宋_GB2312" w:cs="仿宋_GB2312"/>
          <w:color w:val="auto"/>
          <w:sz w:val="24"/>
          <w:szCs w:val="24"/>
          <w:lang w:val="en-US" w:eastAsia="zh-CN"/>
        </w:rPr>
        <w:t>乙方</w:t>
      </w:r>
      <w:r>
        <w:rPr>
          <w:rFonts w:hint="eastAsia" w:ascii="仿宋_GB2312" w:hAnsi="仿宋_GB2312" w:eastAsia="仿宋_GB2312" w:cs="仿宋_GB2312"/>
          <w:color w:val="auto"/>
          <w:sz w:val="24"/>
          <w:szCs w:val="24"/>
          <w:lang w:val="en-US" w:eastAsia="zh-Hans"/>
        </w:rPr>
        <w:t>对其提供的软硬件产品进行质保服务，质保期为项目</w:t>
      </w:r>
      <w:r>
        <w:rPr>
          <w:rFonts w:hint="eastAsia" w:ascii="仿宋_GB2312" w:hAnsi="仿宋_GB2312" w:eastAsia="仿宋_GB2312" w:cs="仿宋_GB2312"/>
          <w:color w:val="auto"/>
          <w:sz w:val="24"/>
          <w:szCs w:val="24"/>
          <w:lang w:val="en-US" w:eastAsia="zh-CN"/>
        </w:rPr>
        <w:t>终验合格</w:t>
      </w:r>
      <w:r>
        <w:rPr>
          <w:rFonts w:hint="eastAsia" w:ascii="仿宋_GB2312" w:hAnsi="仿宋_GB2312" w:eastAsia="仿宋_GB2312" w:cs="仿宋_GB2312"/>
          <w:color w:val="auto"/>
          <w:sz w:val="24"/>
          <w:szCs w:val="24"/>
          <w:lang w:val="en-US" w:eastAsia="zh-Hans"/>
        </w:rPr>
        <w:t>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Hans"/>
        </w:rPr>
        <w:t>年</w:t>
      </w:r>
      <w:r>
        <w:rPr>
          <w:rFonts w:hint="eastAsia" w:ascii="仿宋_GB2312" w:hAnsi="仿宋_GB2312" w:eastAsia="仿宋_GB2312" w:cs="仿宋_GB2312"/>
          <w:color w:val="auto"/>
          <w:sz w:val="24"/>
          <w:szCs w:val="24"/>
          <w:lang w:val="en-US" w:eastAsia="zh-CN"/>
        </w:rPr>
        <w:t>（参数中有质保期要求的，按参数要求提供质保）。</w:t>
      </w:r>
      <w:r>
        <w:rPr>
          <w:rFonts w:hint="eastAsia" w:ascii="仿宋_GB2312" w:hAnsi="仿宋_GB2312" w:eastAsia="仿宋_GB2312" w:cs="仿宋_GB2312"/>
          <w:color w:val="auto"/>
          <w:sz w:val="24"/>
          <w:szCs w:val="24"/>
          <w:lang w:eastAsia="zh-CN"/>
        </w:rPr>
        <w:t>乙方</w:t>
      </w:r>
      <w:r>
        <w:rPr>
          <w:rFonts w:ascii="仿宋_GB2312" w:hAnsi="仿宋_GB2312" w:eastAsia="仿宋_GB2312" w:cs="仿宋_GB2312"/>
          <w:color w:val="auto"/>
          <w:sz w:val="24"/>
          <w:szCs w:val="24"/>
        </w:rPr>
        <w:t xml:space="preserve">承诺的质保时间超过招标文件要求的，按其承诺时间质保。 </w:t>
      </w:r>
    </w:p>
    <w:p w14:paraId="53573AFA">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5.2</w:t>
      </w:r>
      <w:r>
        <w:rPr>
          <w:rFonts w:ascii="仿宋_GB2312" w:hAnsi="仿宋_GB2312" w:eastAsia="仿宋_GB2312" w:cs="仿宋_GB2312"/>
          <w:color w:val="auto"/>
          <w:sz w:val="24"/>
          <w:szCs w:val="24"/>
        </w:rPr>
        <w:t xml:space="preserve">所有产品质量必须符合国家有关规范和相关政策。所有设备及辅材必须是未使用过的新产品，质量优良、渠道正当，配置合理。 </w:t>
      </w:r>
    </w:p>
    <w:p w14:paraId="289B47B4">
      <w:pPr>
        <w:pStyle w:val="9"/>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color w:val="auto"/>
          <w:sz w:val="24"/>
          <w:szCs w:val="24"/>
        </w:rPr>
      </w:pPr>
      <w:r>
        <w:rPr>
          <w:rFonts w:hint="eastAsia" w:ascii="仿宋_GB2312" w:hAnsi="仿宋_GB2312" w:eastAsia="仿宋_GB2312" w:cs="仿宋_GB2312"/>
          <w:color w:val="auto"/>
          <w:sz w:val="24"/>
          <w:szCs w:val="24"/>
          <w:lang w:val="en-US" w:eastAsia="zh-CN"/>
        </w:rPr>
        <w:t>5.3</w:t>
      </w:r>
      <w:r>
        <w:rPr>
          <w:rFonts w:ascii="仿宋_GB2312" w:hAnsi="仿宋_GB2312" w:eastAsia="仿宋_GB2312" w:cs="仿宋_GB2312"/>
          <w:color w:val="auto"/>
          <w:sz w:val="24"/>
          <w:szCs w:val="24"/>
        </w:rPr>
        <w:t>质保期出现的质量问题由</w:t>
      </w:r>
      <w:r>
        <w:rPr>
          <w:rFonts w:hint="eastAsia" w:ascii="仿宋_GB2312" w:hAnsi="仿宋_GB2312" w:eastAsia="仿宋_GB2312" w:cs="仿宋_GB2312"/>
          <w:color w:val="auto"/>
          <w:sz w:val="24"/>
          <w:szCs w:val="24"/>
          <w:lang w:eastAsia="zh-CN"/>
        </w:rPr>
        <w:t>乙方</w:t>
      </w:r>
      <w:r>
        <w:rPr>
          <w:rFonts w:ascii="仿宋_GB2312" w:hAnsi="仿宋_GB2312" w:eastAsia="仿宋_GB2312" w:cs="仿宋_GB2312"/>
          <w:color w:val="auto"/>
          <w:sz w:val="24"/>
          <w:szCs w:val="24"/>
        </w:rPr>
        <w:t>负责解决并承担所有费用。质保期后如需更换零部件，</w:t>
      </w:r>
      <w:r>
        <w:rPr>
          <w:rFonts w:hint="eastAsia" w:ascii="仿宋_GB2312" w:hAnsi="仿宋_GB2312" w:eastAsia="仿宋_GB2312" w:cs="仿宋_GB2312"/>
          <w:color w:val="auto"/>
          <w:sz w:val="24"/>
          <w:szCs w:val="24"/>
          <w:lang w:eastAsia="zh-CN"/>
        </w:rPr>
        <w:t>乙方</w:t>
      </w:r>
      <w:r>
        <w:rPr>
          <w:rFonts w:ascii="仿宋_GB2312" w:hAnsi="仿宋_GB2312" w:eastAsia="仿宋_GB2312" w:cs="仿宋_GB2312"/>
          <w:color w:val="auto"/>
          <w:sz w:val="24"/>
          <w:szCs w:val="24"/>
        </w:rPr>
        <w:t>应以优惠价提供。</w:t>
      </w:r>
    </w:p>
    <w:p w14:paraId="0B46C63A">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验收:</w:t>
      </w:r>
      <w:r>
        <w:rPr>
          <w:rFonts w:hint="eastAsia" w:ascii="仿宋" w:hAnsi="仿宋" w:eastAsia="仿宋" w:cs="仿宋"/>
          <w:b/>
          <w:bCs/>
          <w:color w:val="auto"/>
          <w:sz w:val="24"/>
          <w:szCs w:val="24"/>
          <w:highlight w:val="none"/>
        </w:rPr>
        <w:tab/>
      </w:r>
    </w:p>
    <w:p w14:paraId="16791999">
      <w:pPr>
        <w:pStyle w:val="9"/>
        <w:keepNext w:val="0"/>
        <w:keepLines w:val="0"/>
        <w:pageBreakBefore w:val="0"/>
        <w:wordWrap/>
        <w:overflowPunct/>
        <w:topLinePunct w:val="0"/>
        <w:bidi w:val="0"/>
        <w:spacing w:line="500" w:lineRule="exac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6.1验收依据及标准</w:t>
      </w:r>
    </w:p>
    <w:p w14:paraId="69222E0D">
      <w:pPr>
        <w:pStyle w:val="9"/>
        <w:keepNext w:val="0"/>
        <w:keepLines w:val="0"/>
        <w:pageBreakBefore w:val="0"/>
        <w:wordWrap/>
        <w:overflowPunct/>
        <w:topLinePunct w:val="0"/>
        <w:bidi w:val="0"/>
        <w:spacing w:line="500" w:lineRule="exact"/>
        <w:rPr>
          <w:rFonts w:hint="default" w:ascii="仿宋_GB2312" w:hAnsi="仿宋_GB2312" w:eastAsia="仿宋_GB2312" w:cs="仿宋_GB2312"/>
          <w:color w:val="auto"/>
          <w:sz w:val="24"/>
          <w:szCs w:val="24"/>
          <w:lang w:val="en-US" w:eastAsia="zh-CN"/>
        </w:rPr>
      </w:pPr>
      <w:r>
        <w:rPr>
          <w:rFonts w:hint="default" w:ascii="仿宋_GB2312" w:hAnsi="仿宋_GB2312" w:eastAsia="仿宋_GB2312" w:cs="仿宋_GB2312"/>
          <w:color w:val="auto"/>
          <w:sz w:val="24"/>
          <w:szCs w:val="24"/>
          <w:lang w:val="en-US" w:eastAsia="zh-CN"/>
        </w:rPr>
        <w:t>以本项目合同、招投标文件、国家相关行业标准为验收依据进行验收。</w:t>
      </w:r>
    </w:p>
    <w:p w14:paraId="516C138A">
      <w:pPr>
        <w:pStyle w:val="9"/>
        <w:keepNext w:val="0"/>
        <w:keepLines w:val="0"/>
        <w:pageBreakBefore w:val="0"/>
        <w:wordWrap/>
        <w:overflowPunct/>
        <w:topLinePunct w:val="0"/>
        <w:bidi w:val="0"/>
        <w:spacing w:line="500" w:lineRule="exac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6.2验收方式</w:t>
      </w:r>
    </w:p>
    <w:p w14:paraId="71188700">
      <w:pPr>
        <w:pStyle w:val="9"/>
        <w:keepNext w:val="0"/>
        <w:keepLines w:val="0"/>
        <w:pageBreakBefore w:val="0"/>
        <w:wordWrap/>
        <w:overflowPunct/>
        <w:topLinePunct w:val="0"/>
        <w:bidi w:val="0"/>
        <w:spacing w:line="500" w:lineRule="exac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初验：项目各服务项实施完成，设备进场并完成安装调试，设备正常运行，中标人提出验收申请之日起15日内，采购人组织相关部门和人员进行初验。</w:t>
      </w:r>
    </w:p>
    <w:p w14:paraId="47AF5FC1">
      <w:pPr>
        <w:pStyle w:val="9"/>
        <w:keepNext w:val="0"/>
        <w:keepLines w:val="0"/>
        <w:pageBreakBefore w:val="0"/>
        <w:wordWrap/>
        <w:overflowPunct/>
        <w:topLinePunct w:val="0"/>
        <w:bidi w:val="0"/>
        <w:spacing w:line="500" w:lineRule="exact"/>
        <w:rPr>
          <w:rFonts w:hint="default"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终验：</w:t>
      </w:r>
      <w:r>
        <w:rPr>
          <w:rFonts w:hint="eastAsia" w:ascii="仿宋_GB2312" w:hAnsi="仿宋_GB2312" w:eastAsia="仿宋_GB2312" w:cs="仿宋_GB2312"/>
          <w:color w:val="auto"/>
          <w:sz w:val="24"/>
          <w:szCs w:val="24"/>
          <w:lang w:val="en-US" w:eastAsia="zh-CN"/>
        </w:rPr>
        <w:t>初验完成后，各项服务功能正常、设备稳定运行1个月后，组织终验。终验合格后签发终验合格单。</w:t>
      </w:r>
    </w:p>
    <w:p w14:paraId="6FA28616">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违约责任</w:t>
      </w:r>
    </w:p>
    <w:p w14:paraId="7BDA943E">
      <w:pPr>
        <w:keepNext w:val="0"/>
        <w:keepLines w:val="0"/>
        <w:pageBreakBefore w:val="0"/>
        <w:widowControl w:val="0"/>
        <w:numPr>
          <w:ilvl w:val="0"/>
          <w:numId w:val="4"/>
        </w:numPr>
        <w:tabs>
          <w:tab w:val="left" w:pos="480"/>
          <w:tab w:val="clear" w:pos="60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如甲方超过期限而未支付本合同约定的任何款项，乙方将暂停本项目研究工作，服务期限将因此顺延。</w:t>
      </w:r>
    </w:p>
    <w:p w14:paraId="61E6C771">
      <w:pPr>
        <w:keepNext w:val="0"/>
        <w:keepLines w:val="0"/>
        <w:pageBreakBefore w:val="0"/>
        <w:widowControl w:val="0"/>
        <w:numPr>
          <w:ilvl w:val="0"/>
          <w:numId w:val="4"/>
        </w:numPr>
        <w:tabs>
          <w:tab w:val="left" w:pos="480"/>
          <w:tab w:val="clear" w:pos="60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如乙方因本条第一款原因或甲方原因或甲乙双方认可的其他原因而推迟，导致乙方不能按时完成工作且甲方不能按时得到相应的报告，乙方不承担违约责任。</w:t>
      </w:r>
    </w:p>
    <w:p w14:paraId="2A0CC9A8">
      <w:pPr>
        <w:keepNext w:val="0"/>
        <w:keepLines w:val="0"/>
        <w:pageBreakBefore w:val="0"/>
        <w:widowControl w:val="0"/>
        <w:numPr>
          <w:ilvl w:val="0"/>
          <w:numId w:val="4"/>
        </w:numPr>
        <w:tabs>
          <w:tab w:val="left" w:pos="480"/>
          <w:tab w:val="clear" w:pos="60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尽管本合同中有任何不同的</w:t>
      </w:r>
      <w:r>
        <w:rPr>
          <w:rFonts w:hint="eastAsia" w:ascii="仿宋" w:hAnsi="仿宋" w:eastAsia="仿宋" w:cs="仿宋"/>
          <w:color w:val="auto"/>
          <w:sz w:val="24"/>
          <w:szCs w:val="24"/>
          <w:highlight w:val="none"/>
          <w:lang w:val="en-US" w:eastAsia="zh-CN"/>
        </w:rPr>
        <w:t>约定</w:t>
      </w:r>
      <w:r>
        <w:rPr>
          <w:rFonts w:hint="eastAsia" w:ascii="仿宋" w:hAnsi="仿宋" w:eastAsia="仿宋" w:cs="仿宋"/>
          <w:color w:val="auto"/>
          <w:sz w:val="24"/>
          <w:szCs w:val="24"/>
          <w:highlight w:val="none"/>
        </w:rPr>
        <w:t>，任一方对本合同引起的或与之有关的损失或损害的赔偿责任总额累计不超过该方已支付/已收取的服务费金额，且任一方在本合同项下的责任并不适用于任何间接损失或利润损失。</w:t>
      </w:r>
    </w:p>
    <w:p w14:paraId="3D606D98">
      <w:pPr>
        <w:keepNext w:val="0"/>
        <w:keepLines w:val="0"/>
        <w:pageBreakBefore w:val="0"/>
        <w:widowControl w:val="0"/>
        <w:numPr>
          <w:ilvl w:val="0"/>
          <w:numId w:val="4"/>
        </w:numPr>
        <w:tabs>
          <w:tab w:val="left" w:pos="48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如任一方违约导致另一方合法权益受损，守约方为了维护自身合法权益而支付的费用由违约方承担，费用包括但不限于律师费、诉讼费、仲裁费、保全费、调查费、鉴定费、评估费、差旅费等。</w:t>
      </w:r>
    </w:p>
    <w:p w14:paraId="71CA4775">
      <w:pPr>
        <w:keepNext w:val="0"/>
        <w:keepLines w:val="0"/>
        <w:pageBreakBefore w:val="0"/>
        <w:widowControl w:val="0"/>
        <w:numPr>
          <w:ilvl w:val="0"/>
          <w:numId w:val="4"/>
        </w:numPr>
        <w:tabs>
          <w:tab w:val="left" w:pos="48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乙方擅自转包本合同项下相关服务的，甲方有权解除合同，并可要求乙方偿付合同约定的项目总费用10%的违约金。</w:t>
      </w:r>
    </w:p>
    <w:p w14:paraId="2546A7EF">
      <w:pPr>
        <w:keepNext w:val="0"/>
        <w:keepLines w:val="0"/>
        <w:pageBreakBefore w:val="0"/>
        <w:widowControl w:val="0"/>
        <w:numPr>
          <w:ilvl w:val="0"/>
          <w:numId w:val="4"/>
        </w:numPr>
        <w:tabs>
          <w:tab w:val="left" w:pos="240"/>
        </w:tabs>
        <w:kinsoku/>
        <w:wordWrap/>
        <w:overflowPunct/>
        <w:topLinePunct w:val="0"/>
        <w:autoSpaceDE/>
        <w:autoSpaceDN/>
        <w:bidi w:val="0"/>
        <w:adjustRightInd/>
        <w:snapToGrid/>
        <w:spacing w:line="500" w:lineRule="exact"/>
        <w:ind w:left="600" w:leftChars="0" w:hanging="60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如果因为乙方工作失职或在工作成果交付后一个月内经过反复修改仍不符合本协议和工作说明书的要求，甲方有权解除合同，乙方应扣除相应成本费用后将其他费用退还给甲方。</w:t>
      </w:r>
    </w:p>
    <w:p w14:paraId="5BBEF5A9">
      <w:pPr>
        <w:keepNext w:val="0"/>
        <w:keepLines w:val="0"/>
        <w:pageBreakBefore w:val="0"/>
        <w:numPr>
          <w:ilvl w:val="0"/>
          <w:numId w:val="1"/>
        </w:numPr>
        <w:tabs>
          <w:tab w:val="left" w:pos="540"/>
          <w:tab w:val="left" w:pos="81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知识产权</w:t>
      </w:r>
    </w:p>
    <w:p w14:paraId="09AC5EB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转让其为本合同项下报告专门制作的任何材料的所有将来和现有的知识产权，并在甲方支付相应款项的前提下，向甲方转让相应报告的所有权及知识产权（但乙方享有署名权），但服务成果中关于本项目所在区域、市场、行业的通用数据、分析、研究除外。</w:t>
      </w:r>
    </w:p>
    <w:p w14:paraId="6EAFA312">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80" w:leftChars="0" w:hanging="72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任一方拥有其先前材料（包括但不限于该方先前所有的或通过第三方许可获得的所有专有方法学、工具、计算模型、数据库、软件、程序、文档、数据、专有技术和流程等）的知识产权。为提供本合同项下服务之目的，该方向对方授予其在先材料的知识产权的非独占的使用权，该使用权在本合同因任何原因终止或到期后结束。</w:t>
      </w:r>
    </w:p>
    <w:p w14:paraId="7ECCF7E7">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乙方应保证所提供的服务或其任何一部分均不会侵犯任何第三方的专利权、商标权或著作权。若由此产生侵权纠纷，由乙方自行承担，甲方概不负责，如造成甲方损失，甲方有权向乙方追索。</w:t>
      </w:r>
    </w:p>
    <w:p w14:paraId="51E5AE84">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未经甲方书面许可，乙方不得对该合同项下服务成果进行使用（但服务成果中关于本项目所在区域、市场、行业的通用数据、分析、研究，及乙方在先材料除外），如未经甲方允许擅自使用的，甲方有权追究乙方责任，相关法律后果由乙方承担。</w:t>
      </w:r>
    </w:p>
    <w:p w14:paraId="11D30EB3">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保密约定</w:t>
      </w:r>
    </w:p>
    <w:p w14:paraId="30D11E79">
      <w:pPr>
        <w:keepNext w:val="0"/>
        <w:keepLines w:val="0"/>
        <w:pageBreakBefore w:val="0"/>
        <w:widowControl w:val="0"/>
        <w:numPr>
          <w:ilvl w:val="0"/>
          <w:numId w:val="6"/>
        </w:numPr>
        <w:tabs>
          <w:tab w:val="left" w:pos="480"/>
          <w:tab w:val="clear" w:pos="720"/>
        </w:tabs>
        <w:kinsoku/>
        <w:wordWrap/>
        <w:overflowPunct/>
        <w:topLinePunct w:val="0"/>
        <w:autoSpaceDE/>
        <w:autoSpaceDN/>
        <w:bidi w:val="0"/>
        <w:adjustRightInd/>
        <w:snapToGrid/>
        <w:spacing w:line="500" w:lineRule="exact"/>
        <w:ind w:left="48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没有甲方事先书面同意，乙方不得将甲方或代表甲方提供的有关合同或任何合同条文、规格、计划、资料提供给与履行本合同无关的任何其他人，即使向与履行本合同有关的人员提供，也应注意保密并限于履行合同必须的范围。</w:t>
      </w:r>
    </w:p>
    <w:p w14:paraId="1B336FFF">
      <w:pPr>
        <w:keepNext w:val="0"/>
        <w:keepLines w:val="0"/>
        <w:pageBreakBefore w:val="0"/>
        <w:widowControl w:val="0"/>
        <w:numPr>
          <w:ilvl w:val="0"/>
          <w:numId w:val="6"/>
        </w:numPr>
        <w:tabs>
          <w:tab w:val="left" w:pos="540"/>
          <w:tab w:val="clear" w:pos="72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没有甲方事先书面同意，除了履行本合同之外，乙方不应使用合同条款所列举的任何文件和资料。</w:t>
      </w:r>
    </w:p>
    <w:p w14:paraId="224E2C99">
      <w:pPr>
        <w:keepNext w:val="0"/>
        <w:keepLines w:val="0"/>
        <w:pageBreakBefore w:val="0"/>
        <w:widowControl w:val="0"/>
        <w:numPr>
          <w:ilvl w:val="0"/>
          <w:numId w:val="6"/>
        </w:numPr>
        <w:tabs>
          <w:tab w:val="left" w:pos="540"/>
          <w:tab w:val="clear" w:pos="720"/>
        </w:tabs>
        <w:kinsoku/>
        <w:wordWrap/>
        <w:overflowPunct/>
        <w:topLinePunct w:val="0"/>
        <w:autoSpaceDE/>
        <w:autoSpaceDN/>
        <w:bidi w:val="0"/>
        <w:adjustRightInd/>
        <w:snapToGrid/>
        <w:spacing w:line="500" w:lineRule="exact"/>
        <w:ind w:left="480" w:leftChars="0" w:hanging="48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除了合同本身以外，合同条款所列举的任何文件是甲方的财产。如果甲方有要求，乙方在完成合同后应将这些文件及全部复制件还给甲方。</w:t>
      </w:r>
    </w:p>
    <w:p w14:paraId="53BD2796">
      <w:pPr>
        <w:keepNext w:val="0"/>
        <w:keepLines w:val="0"/>
        <w:pageBreakBefore w:val="0"/>
        <w:widowControl w:val="0"/>
        <w:numPr>
          <w:ilvl w:val="0"/>
          <w:numId w:val="6"/>
        </w:numPr>
        <w:tabs>
          <w:tab w:val="left" w:pos="54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本保密义务在本协议期满、解除或终止后仍然有效。</w:t>
      </w:r>
    </w:p>
    <w:p w14:paraId="03FDF74B">
      <w:pPr>
        <w:keepNext w:val="0"/>
        <w:keepLines w:val="0"/>
        <w:pageBreakBefore w:val="0"/>
        <w:widowControl w:val="0"/>
        <w:numPr>
          <w:ilvl w:val="0"/>
          <w:numId w:val="1"/>
        </w:numPr>
        <w:tabs>
          <w:tab w:val="left" w:pos="540"/>
        </w:tabs>
        <w:kinsoku/>
        <w:wordWrap/>
        <w:overflowPunct/>
        <w:topLinePunct w:val="0"/>
        <w:autoSpaceDE/>
        <w:autoSpaceDN/>
        <w:bidi w:val="0"/>
        <w:adjustRightInd/>
        <w:snapToGrid/>
        <w:spacing w:line="500" w:lineRule="exact"/>
        <w:ind w:left="0" w:firstLine="0" w:firstLineChars="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合同争议解决方式</w:t>
      </w:r>
    </w:p>
    <w:p w14:paraId="50B4B46C">
      <w:pPr>
        <w:keepNext w:val="0"/>
        <w:keepLines w:val="0"/>
        <w:pageBreakBefore w:val="0"/>
        <w:wordWrap/>
        <w:overflowPunct/>
        <w:topLinePunct w:val="0"/>
        <w:bidi w:val="0"/>
        <w:spacing w:line="500" w:lineRule="exact"/>
        <w:ind w:right="-252" w:rightChars="-12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因执行本合同所发生的或与本合同有关的一切争议,双方应通过友好协商解决，协商不成的向</w:t>
      </w:r>
      <w:r>
        <w:rPr>
          <w:rFonts w:hint="eastAsia" w:ascii="仿宋" w:hAnsi="仿宋" w:eastAsia="仿宋" w:cs="仿宋"/>
          <w:color w:val="auto"/>
          <w:sz w:val="24"/>
          <w:szCs w:val="24"/>
          <w:highlight w:val="none"/>
          <w:lang w:eastAsia="zh-CN"/>
        </w:rPr>
        <w:t>甲方所在地人民法院提起诉讼</w:t>
      </w:r>
      <w:r>
        <w:rPr>
          <w:rFonts w:hint="eastAsia" w:ascii="仿宋" w:hAnsi="仿宋" w:eastAsia="仿宋" w:cs="仿宋"/>
          <w:color w:val="auto"/>
          <w:sz w:val="24"/>
          <w:szCs w:val="24"/>
          <w:highlight w:val="none"/>
        </w:rPr>
        <w:t>。</w:t>
      </w:r>
    </w:p>
    <w:p w14:paraId="17971BBE">
      <w:pPr>
        <w:keepNext w:val="0"/>
        <w:keepLines w:val="0"/>
        <w:pageBreakBefore w:val="0"/>
        <w:numPr>
          <w:ilvl w:val="0"/>
          <w:numId w:val="1"/>
        </w:numPr>
        <w:tabs>
          <w:tab w:val="left" w:pos="54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不可抗力</w:t>
      </w:r>
    </w:p>
    <w:p w14:paraId="6BBE9798">
      <w:pPr>
        <w:pStyle w:val="8"/>
        <w:keepNext w:val="0"/>
        <w:keepLines w:val="0"/>
        <w:pageBreakBefore w:val="0"/>
        <w:widowControl/>
        <w:kinsoku/>
        <w:wordWrap/>
        <w:overflowPunct/>
        <w:topLinePunct w:val="0"/>
        <w:autoSpaceDE/>
        <w:autoSpaceDN/>
        <w:bidi w:val="0"/>
        <w:spacing w:line="50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由于自然灾害、战争以及其它不可预见，并对其发生和后果不能防止和避免的不可抗力事件，直接影响本合同的履行、或者使本合同不能按约定的条件被履行时，由双方协商决定是否解除本合同，或者部分免除履行本合同的责任，或者延期履行本合同，且双方均不承担因不可抗力事件导致的违约所产生的赔偿责任。</w:t>
      </w:r>
    </w:p>
    <w:p w14:paraId="27F065B3">
      <w:pPr>
        <w:keepNext w:val="0"/>
        <w:keepLines w:val="0"/>
        <w:pageBreakBefore w:val="0"/>
        <w:numPr>
          <w:ilvl w:val="0"/>
          <w:numId w:val="1"/>
        </w:numPr>
        <w:tabs>
          <w:tab w:val="left" w:pos="540"/>
          <w:tab w:val="left" w:pos="81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通知和送达</w:t>
      </w:r>
    </w:p>
    <w:p w14:paraId="1C9CE900">
      <w:pPr>
        <w:keepNext w:val="0"/>
        <w:keepLines w:val="0"/>
        <w:pageBreakBefore w:val="0"/>
        <w:widowControl w:val="0"/>
        <w:numPr>
          <w:ilvl w:val="0"/>
          <w:numId w:val="7"/>
        </w:numPr>
        <w:tabs>
          <w:tab w:val="left" w:pos="72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任何与本合同有关的由本合同双方当事人发出的工作成果、通知或其它通讯往来应当按以下联系方式送达或送达至双方书面通知的其他地址。</w:t>
      </w:r>
    </w:p>
    <w:p w14:paraId="5C333E98">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500" w:lineRule="exact"/>
        <w:ind w:left="630" w:leftChars="300" w:firstLine="0" w:firstLineChars="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甲方指定[XXX]为经常联系人，联系电话为：[XXX ]，邮箱为：[XXX ]，文件投递地址为：[ XXX]。</w:t>
      </w:r>
    </w:p>
    <w:p w14:paraId="4526FA9C">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500" w:lineRule="exact"/>
        <w:ind w:left="630" w:leftChars="300" w:firstLine="0" w:firstLineChars="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乙方指定XXX为经常联系人，联系电话为：XXX，邮箱为：XXX，文件投递地址为：[ XXX]。</w:t>
      </w:r>
    </w:p>
    <w:p w14:paraId="696BBE65">
      <w:pPr>
        <w:keepNext w:val="0"/>
        <w:keepLines w:val="0"/>
        <w:pageBreakBefore w:val="0"/>
        <w:widowControl w:val="0"/>
        <w:numPr>
          <w:ilvl w:val="0"/>
          <w:numId w:val="7"/>
        </w:numPr>
        <w:tabs>
          <w:tab w:val="left" w:pos="72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任何面呈之通知，以递交时视为送达；任何以信件方式发出的通知或其他通讯往来，在投邮后第五日视为送达日期；传真或电子邮件以发出方传真或邮件系统显示发出时视为送达；双方就特定事项专门做出约定的除外。    </w:t>
      </w:r>
    </w:p>
    <w:p w14:paraId="322398C5">
      <w:pPr>
        <w:keepNext w:val="0"/>
        <w:keepLines w:val="0"/>
        <w:pageBreakBefore w:val="0"/>
        <w:widowControl w:val="0"/>
        <w:numPr>
          <w:ilvl w:val="0"/>
          <w:numId w:val="7"/>
        </w:numPr>
        <w:tabs>
          <w:tab w:val="left" w:pos="72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任一方的上述联系方式发生变更的，其应毫不延迟地通知另一方。该方未及时通知另一方的，则另一方按上述联系方式向其发送的任何通讯均应视为已经送达至该方，而无论该方是否实际收到。 </w:t>
      </w:r>
    </w:p>
    <w:p w14:paraId="6F42F375">
      <w:pPr>
        <w:keepNext w:val="0"/>
        <w:keepLines w:val="0"/>
        <w:pageBreakBefore w:val="0"/>
        <w:numPr>
          <w:ilvl w:val="0"/>
          <w:numId w:val="1"/>
        </w:numPr>
        <w:tabs>
          <w:tab w:val="left" w:pos="540"/>
          <w:tab w:val="left" w:pos="81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合同变更、解除及终止的条件</w:t>
      </w:r>
    </w:p>
    <w:p w14:paraId="6BEC5DA8">
      <w:pPr>
        <w:keepNext w:val="0"/>
        <w:keepLines w:val="0"/>
        <w:pageBreakBefore w:val="0"/>
        <w:widowControl w:val="0"/>
        <w:numPr>
          <w:ilvl w:val="0"/>
          <w:numId w:val="8"/>
        </w:numPr>
        <w:tabs>
          <w:tab w:val="left" w:pos="720"/>
        </w:tabs>
        <w:kinsoku/>
        <w:wordWrap/>
        <w:overflowPunct/>
        <w:topLinePunct w:val="0"/>
        <w:autoSpaceDE/>
        <w:autoSpaceDN/>
        <w:bidi w:val="0"/>
        <w:adjustRightInd/>
        <w:snapToGrid/>
        <w:spacing w:line="500" w:lineRule="exact"/>
        <w:ind w:left="720" w:leftChars="0" w:hanging="7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出现下列情况之一，甲方可向乙方发出书面违约通知书，提出终止部分或全部合同：</w:t>
      </w:r>
    </w:p>
    <w:p w14:paraId="40DB3E63">
      <w:pPr>
        <w:keepNext w:val="0"/>
        <w:keepLines w:val="0"/>
        <w:pageBreakBefore w:val="0"/>
        <w:widowControl w:val="0"/>
        <w:kinsoku/>
        <w:wordWrap/>
        <w:overflowPunct/>
        <w:topLinePunct w:val="0"/>
        <w:autoSpaceDE/>
        <w:autoSpaceDN/>
        <w:bidi w:val="0"/>
        <w:adjustRightInd/>
        <w:snapToGrid/>
        <w:spacing w:line="500" w:lineRule="exact"/>
        <w:ind w:left="480" w:leftChars="0" w:hanging="480" w:hanging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（1）如果乙方未能在合同</w:t>
      </w:r>
      <w:r>
        <w:rPr>
          <w:rFonts w:hint="eastAsia" w:ascii="仿宋" w:hAnsi="仿宋" w:eastAsia="仿宋" w:cs="仿宋"/>
          <w:color w:val="auto"/>
          <w:sz w:val="24"/>
          <w:szCs w:val="24"/>
          <w:highlight w:val="none"/>
          <w:lang w:val="en-US" w:eastAsia="zh-CN"/>
        </w:rPr>
        <w:t>约定</w:t>
      </w:r>
      <w:r>
        <w:rPr>
          <w:rFonts w:hint="eastAsia" w:ascii="仿宋" w:hAnsi="仿宋" w:eastAsia="仿宋" w:cs="仿宋"/>
          <w:color w:val="auto"/>
          <w:sz w:val="24"/>
          <w:szCs w:val="24"/>
          <w:highlight w:val="none"/>
        </w:rPr>
        <w:t>的期限内提供部分或全部货物；或误期赔偿费达到最高限额。</w:t>
      </w:r>
      <w:r>
        <w:rPr>
          <w:rFonts w:hint="eastAsia" w:ascii="仿宋" w:hAnsi="仿宋" w:eastAsia="仿宋" w:cs="仿宋"/>
          <w:color w:val="auto"/>
          <w:sz w:val="24"/>
          <w:szCs w:val="24"/>
          <w:highlight w:val="none"/>
          <w:lang w:val="zh-CN" w:eastAsia="zh-CN"/>
        </w:rPr>
        <w:t>在项目实施过程中，质量保障人员、资源不足或者执行不力，给项目质量带来的风险超出</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val="zh-CN" w:eastAsia="zh-CN"/>
        </w:rPr>
        <w:t>认定的允许范围时，</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val="zh-CN" w:eastAsia="zh-CN"/>
        </w:rPr>
        <w:t>可终止本项目的合作并进行索赔。</w:t>
      </w:r>
    </w:p>
    <w:p w14:paraId="7AA1930E">
      <w:pPr>
        <w:keepNext w:val="0"/>
        <w:keepLines w:val="0"/>
        <w:pageBreakBefore w:val="0"/>
        <w:widowControl w:val="0"/>
        <w:kinsoku/>
        <w:wordWrap/>
        <w:overflowPunct/>
        <w:topLinePunct w:val="0"/>
        <w:autoSpaceDE/>
        <w:autoSpaceDN/>
        <w:bidi w:val="0"/>
        <w:adjustRightInd/>
        <w:snapToGrid/>
        <w:spacing w:line="500" w:lineRule="exact"/>
        <w:ind w:left="480" w:leftChars="0" w:hanging="480" w:hanging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w:t>
      </w:r>
      <w:r>
        <w:rPr>
          <w:rFonts w:hint="eastAsia" w:ascii="仿宋" w:hAnsi="仿宋" w:eastAsia="仿宋" w:cs="仿宋"/>
          <w:color w:val="auto"/>
          <w:sz w:val="24"/>
          <w:szCs w:val="24"/>
          <w:highlight w:val="none"/>
          <w:lang w:val="zh-CN" w:eastAsia="zh-CN"/>
        </w:rPr>
        <w:t>提供产品或供应的产品质量不能满足</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val="zh-CN" w:eastAsia="zh-CN"/>
        </w:rPr>
        <w:t>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val="zh-CN" w:eastAsia="zh-CN"/>
        </w:rPr>
        <w:t>有权终止合同，对</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lang w:val="zh-CN" w:eastAsia="zh-CN"/>
        </w:rPr>
        <w:t>违约行为进行追究，并将相关情况上报市财政局，建议将其列入政府采购严重违法失信行为记录名单。</w:t>
      </w:r>
    </w:p>
    <w:p w14:paraId="48F544D4">
      <w:pPr>
        <w:keepNext w:val="0"/>
        <w:keepLines w:val="0"/>
        <w:pageBreakBefore w:val="0"/>
        <w:widowControl w:val="0"/>
        <w:kinsoku/>
        <w:wordWrap/>
        <w:overflowPunct/>
        <w:topLinePunct w:val="0"/>
        <w:autoSpaceDE/>
        <w:autoSpaceDN/>
        <w:bidi w:val="0"/>
        <w:adjustRightInd/>
        <w:snapToGrid/>
        <w:spacing w:line="500" w:lineRule="exact"/>
        <w:ind w:left="480" w:leftChars="0" w:hanging="480" w:hanging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（3）如果乙方未能履行合同</w:t>
      </w:r>
      <w:r>
        <w:rPr>
          <w:rFonts w:hint="eastAsia" w:ascii="仿宋" w:hAnsi="仿宋" w:eastAsia="仿宋" w:cs="仿宋"/>
          <w:color w:val="auto"/>
          <w:sz w:val="24"/>
          <w:szCs w:val="24"/>
          <w:highlight w:val="none"/>
          <w:lang w:val="en-US" w:eastAsia="zh-CN"/>
        </w:rPr>
        <w:t>约定</w:t>
      </w:r>
      <w:r>
        <w:rPr>
          <w:rFonts w:hint="eastAsia" w:ascii="仿宋" w:hAnsi="仿宋" w:eastAsia="仿宋" w:cs="仿宋"/>
          <w:color w:val="auto"/>
          <w:sz w:val="24"/>
          <w:szCs w:val="24"/>
          <w:highlight w:val="none"/>
        </w:rPr>
        <w:t>的其它任何义务。</w:t>
      </w:r>
    </w:p>
    <w:p w14:paraId="5AEB3F74">
      <w:pPr>
        <w:keepNext w:val="0"/>
        <w:keepLines w:val="0"/>
        <w:pageBreakBefore w:val="0"/>
        <w:widowControl w:val="0"/>
        <w:kinsoku/>
        <w:wordWrap/>
        <w:overflowPunct/>
        <w:topLinePunct w:val="0"/>
        <w:autoSpaceDE/>
        <w:autoSpaceDN/>
        <w:bidi w:val="0"/>
        <w:adjustRightInd/>
        <w:snapToGrid/>
        <w:spacing w:line="500" w:lineRule="exact"/>
        <w:ind w:left="480" w:leftChars="0" w:hanging="480" w:hanging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（4）如果甲方认为乙方在本合同的竞争和实施过程中有腐败和欺诈行为。为此目的，定义下述条件：</w:t>
      </w:r>
    </w:p>
    <w:p w14:paraId="2E20A967">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“腐败行为”是指提供、给予、接受或索取任何有价值的物品来影响甲方在采购过程或合同实施过程中的行为。</w:t>
      </w:r>
    </w:p>
    <w:p w14:paraId="77F1932E">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“欺诈行为”是指为了影响采购过程或合同实施过程而谎报或隐瞒事实，损害甲方利益的行为。</w:t>
      </w:r>
    </w:p>
    <w:p w14:paraId="6D66CBCA">
      <w:pPr>
        <w:keepNext w:val="0"/>
        <w:keepLines w:val="0"/>
        <w:pageBreakBefore w:val="0"/>
        <w:widowControl w:val="0"/>
        <w:numPr>
          <w:ilvl w:val="0"/>
          <w:numId w:val="9"/>
        </w:numPr>
        <w:tabs>
          <w:tab w:val="left" w:pos="720"/>
        </w:tabs>
        <w:kinsoku/>
        <w:wordWrap/>
        <w:overflowPunct/>
        <w:topLinePunct w:val="0"/>
        <w:autoSpaceDE/>
        <w:autoSpaceDN/>
        <w:bidi w:val="0"/>
        <w:adjustRightInd/>
        <w:snapToGrid/>
        <w:spacing w:line="500" w:lineRule="exact"/>
        <w:ind w:left="720" w:leftChars="0" w:right="0" w:rightChars="0" w:hanging="72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如果甲方根据上述</w:t>
      </w:r>
      <w:r>
        <w:rPr>
          <w:rFonts w:hint="eastAsia" w:ascii="仿宋" w:hAnsi="仿宋" w:eastAsia="仿宋" w:cs="仿宋"/>
          <w:color w:val="auto"/>
          <w:sz w:val="24"/>
          <w:szCs w:val="24"/>
          <w:highlight w:val="none"/>
          <w:lang w:val="en-US" w:eastAsia="zh-CN"/>
        </w:rPr>
        <w:t>约定</w:t>
      </w:r>
      <w:r>
        <w:rPr>
          <w:rFonts w:hint="eastAsia" w:ascii="仿宋" w:hAnsi="仿宋" w:eastAsia="仿宋" w:cs="仿宋"/>
          <w:color w:val="auto"/>
          <w:sz w:val="24"/>
          <w:szCs w:val="24"/>
          <w:highlight w:val="none"/>
        </w:rPr>
        <w:t>，终止了全部或部分合同，甲方可以依其认为适当的条件和方法购买与未交货物类似的货物或服务，乙方应承担甲方因购买类似货物或服务而产生的额外支出。但是，乙方应继续执行合同中未终止的部分。</w:t>
      </w:r>
    </w:p>
    <w:p w14:paraId="48629B66">
      <w:pPr>
        <w:keepNext w:val="0"/>
        <w:keepLines w:val="0"/>
        <w:pageBreakBefore w:val="0"/>
        <w:widowControl w:val="0"/>
        <w:numPr>
          <w:ilvl w:val="0"/>
          <w:numId w:val="9"/>
        </w:numPr>
        <w:tabs>
          <w:tab w:val="left" w:pos="720"/>
        </w:tabs>
        <w:kinsoku/>
        <w:wordWrap/>
        <w:overflowPunct/>
        <w:topLinePunct w:val="0"/>
        <w:autoSpaceDE/>
        <w:autoSpaceDN/>
        <w:bidi w:val="0"/>
        <w:adjustRightInd/>
        <w:snapToGrid/>
        <w:spacing w:line="500" w:lineRule="exact"/>
        <w:ind w:left="720" w:leftChars="0" w:right="0" w:rightChars="0" w:hanging="720" w:firstLineChars="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按《中华人民共和国政府采购法》《中华人民共和国民法典》中的相关条款执行。</w:t>
      </w:r>
    </w:p>
    <w:p w14:paraId="2B8B1733">
      <w:pPr>
        <w:keepNext w:val="0"/>
        <w:keepLines w:val="0"/>
        <w:pageBreakBefore w:val="0"/>
        <w:numPr>
          <w:ilvl w:val="0"/>
          <w:numId w:val="1"/>
        </w:numPr>
        <w:tabs>
          <w:tab w:val="left" w:pos="540"/>
          <w:tab w:val="left" w:pos="810"/>
        </w:tabs>
        <w:kinsoku/>
        <w:wordWrap/>
        <w:overflowPunct/>
        <w:topLinePunct w:val="0"/>
        <w:autoSpaceDE/>
        <w:autoSpaceDN/>
        <w:bidi w:val="0"/>
        <w:spacing w:line="500" w:lineRule="exact"/>
        <w:ind w:left="540" w:hanging="540"/>
        <w:jc w:val="both"/>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其他事项</w:t>
      </w:r>
    </w:p>
    <w:p w14:paraId="34809317">
      <w:pPr>
        <w:keepNext w:val="0"/>
        <w:keepLines w:val="0"/>
        <w:pageBreakBefore w:val="0"/>
        <w:widowControl w:val="0"/>
        <w:numPr>
          <w:ilvl w:val="0"/>
          <w:numId w:val="10"/>
        </w:numPr>
        <w:tabs>
          <w:tab w:val="left" w:pos="48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本合同条款是由双方在平等、自愿的基础上经过协商并达成一致意见后形成的，未经双方认可，任何一方不得对本合同条款做出修改或补充。</w:t>
      </w:r>
    </w:p>
    <w:p w14:paraId="01873C21">
      <w:pPr>
        <w:keepNext w:val="0"/>
        <w:keepLines w:val="0"/>
        <w:pageBreakBefore w:val="0"/>
        <w:widowControl w:val="0"/>
        <w:numPr>
          <w:ilvl w:val="0"/>
          <w:numId w:val="10"/>
        </w:numPr>
        <w:tabs>
          <w:tab w:val="left" w:pos="48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甲乙双方同意对合作过程中知悉的涉及国家秘密、商业秘密及其他不宜公开的内部信息负有保密义务，不得将其披露给任何第三方，并保证采取合理措施防止和制止任何第三方的侵权行为，不利用对方的保密信息谋取不当利益。</w:t>
      </w:r>
    </w:p>
    <w:p w14:paraId="2B1D9E1A">
      <w:pPr>
        <w:keepNext w:val="0"/>
        <w:keepLines w:val="0"/>
        <w:pageBreakBefore w:val="0"/>
        <w:widowControl w:val="0"/>
        <w:numPr>
          <w:ilvl w:val="0"/>
          <w:numId w:val="10"/>
        </w:numPr>
        <w:tabs>
          <w:tab w:val="left" w:pos="48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本合同未尽事宜由双方日后协商，以书面的方式签订补充协议，作为本合同的一部分，具有同等法律效力。</w:t>
      </w:r>
    </w:p>
    <w:p w14:paraId="1908D961">
      <w:pPr>
        <w:keepNext w:val="0"/>
        <w:keepLines w:val="0"/>
        <w:pageBreakBefore w:val="0"/>
        <w:widowControl w:val="0"/>
        <w:numPr>
          <w:ilvl w:val="0"/>
          <w:numId w:val="10"/>
        </w:numPr>
        <w:tabs>
          <w:tab w:val="left" w:pos="480"/>
        </w:tabs>
        <w:kinsoku/>
        <w:wordWrap/>
        <w:overflowPunct/>
        <w:topLinePunct w:val="0"/>
        <w:autoSpaceDE/>
        <w:autoSpaceDN/>
        <w:bidi w:val="0"/>
        <w:adjustRightInd/>
        <w:snapToGrid/>
        <w:spacing w:line="500" w:lineRule="exact"/>
        <w:ind w:left="720" w:leftChars="0" w:hanging="720" w:firstLineChars="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本合同正本一式</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份，</w:t>
      </w:r>
      <w:r>
        <w:rPr>
          <w:rFonts w:hint="eastAsia" w:ascii="仿宋" w:hAnsi="仿宋" w:eastAsia="仿宋" w:cs="仿宋"/>
          <w:b w:val="0"/>
          <w:bCs w:val="0"/>
          <w:color w:val="auto"/>
          <w:sz w:val="24"/>
          <w:szCs w:val="24"/>
          <w:highlight w:val="none"/>
          <w:lang w:eastAsia="zh-CN"/>
        </w:rPr>
        <w:t>甲方</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份；乙方</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份，</w:t>
      </w:r>
      <w:bookmarkStart w:id="2" w:name="_GoBack"/>
      <w:bookmarkEnd w:id="2"/>
      <w:r>
        <w:rPr>
          <w:rFonts w:hint="eastAsia" w:ascii="仿宋" w:hAnsi="仿宋" w:eastAsia="仿宋" w:cs="仿宋"/>
          <w:b w:val="0"/>
          <w:bCs w:val="0"/>
          <w:color w:val="auto"/>
          <w:sz w:val="24"/>
          <w:szCs w:val="24"/>
          <w:highlight w:val="none"/>
        </w:rPr>
        <w:t>具有同等法律效力。</w:t>
      </w:r>
    </w:p>
    <w:p w14:paraId="36D3F573">
      <w:pPr>
        <w:keepNext w:val="0"/>
        <w:keepLines w:val="0"/>
        <w:pageBreakBefore w:val="0"/>
        <w:numPr>
          <w:ilvl w:val="0"/>
          <w:numId w:val="0"/>
        </w:numPr>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14.5  本合同自各方共同签字盖章之日起生效。</w:t>
      </w:r>
    </w:p>
    <w:p w14:paraId="03C06554">
      <w:pPr>
        <w:keepNext w:val="0"/>
        <w:keepLines w:val="0"/>
        <w:pageBreakBefore w:val="0"/>
        <w:numPr>
          <w:ilvl w:val="0"/>
          <w:numId w:val="0"/>
        </w:numPr>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lang w:eastAsia="zh-CN"/>
        </w:rPr>
      </w:pPr>
    </w:p>
    <w:p w14:paraId="533869EE">
      <w:pPr>
        <w:keepNext w:val="0"/>
        <w:keepLines w:val="0"/>
        <w:pageBreakBefore w:val="0"/>
        <w:numPr>
          <w:ilvl w:val="0"/>
          <w:numId w:val="0"/>
        </w:numPr>
        <w:kinsoku/>
        <w:wordWrap/>
        <w:overflowPunct/>
        <w:topLinePunct w:val="0"/>
        <w:autoSpaceDE/>
        <w:autoSpaceDN/>
        <w:bidi w:val="0"/>
        <w:spacing w:line="500" w:lineRule="exact"/>
        <w:ind w:leftChars="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（以下无正文）</w:t>
      </w:r>
    </w:p>
    <w:p w14:paraId="2C71B2E2">
      <w:pPr>
        <w:keepNext w:val="0"/>
        <w:keepLines w:val="0"/>
        <w:pageBreakBefore w:val="0"/>
        <w:wordWrap/>
        <w:overflowPunct/>
        <w:topLinePunct w:val="0"/>
        <w:bidi w:val="0"/>
        <w:spacing w:line="500" w:lineRule="exact"/>
        <w:rPr>
          <w:rFonts w:hint="eastAsia" w:ascii="仿宋" w:hAnsi="仿宋" w:eastAsia="仿宋" w:cs="仿宋"/>
          <w:color w:val="auto"/>
          <w:sz w:val="24"/>
          <w:szCs w:val="24"/>
          <w:highlight w:val="none"/>
          <w:lang w:eastAsia="zh-CN"/>
        </w:rPr>
      </w:pPr>
    </w:p>
    <w:tbl>
      <w:tblPr>
        <w:tblStyle w:val="5"/>
        <w:tblW w:w="7919" w:type="dxa"/>
        <w:jc w:val="center"/>
        <w:tblLayout w:type="fixed"/>
        <w:tblCellMar>
          <w:top w:w="0" w:type="dxa"/>
          <w:left w:w="28" w:type="dxa"/>
          <w:bottom w:w="0" w:type="dxa"/>
          <w:right w:w="28" w:type="dxa"/>
        </w:tblCellMar>
      </w:tblPr>
      <w:tblGrid>
        <w:gridCol w:w="4092"/>
        <w:gridCol w:w="3827"/>
      </w:tblGrid>
      <w:tr w14:paraId="2E469E21">
        <w:tblPrEx>
          <w:tblCellMar>
            <w:top w:w="0" w:type="dxa"/>
            <w:left w:w="28" w:type="dxa"/>
            <w:bottom w:w="0" w:type="dxa"/>
            <w:right w:w="28" w:type="dxa"/>
          </w:tblCellMar>
        </w:tblPrEx>
        <w:trPr>
          <w:trHeight w:val="2503" w:hRule="atLeast"/>
          <w:jc w:val="center"/>
        </w:trPr>
        <w:tc>
          <w:tcPr>
            <w:tcW w:w="4092" w:type="dxa"/>
          </w:tcPr>
          <w:p w14:paraId="34E7788A">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eastAsia="zh-CN"/>
              </w:rPr>
              <w:t>甲</w:t>
            </w:r>
            <w:r>
              <w:rPr>
                <w:rFonts w:hint="eastAsia" w:ascii="仿宋" w:hAnsi="仿宋" w:eastAsia="仿宋" w:cs="仿宋"/>
                <w:color w:val="auto"/>
                <w:sz w:val="24"/>
                <w:szCs w:val="24"/>
                <w:highlight w:val="none"/>
                <w:u w:val="none"/>
              </w:rPr>
              <w:t>方</w:t>
            </w:r>
            <w:r>
              <w:rPr>
                <w:rFonts w:hint="eastAsia" w:ascii="仿宋" w:hAnsi="仿宋" w:eastAsia="仿宋" w:cs="仿宋"/>
                <w:color w:val="auto"/>
                <w:sz w:val="24"/>
                <w:szCs w:val="24"/>
                <w:highlight w:val="none"/>
                <w:u w:val="none"/>
                <w:lang w:eastAsia="zh-CN"/>
              </w:rPr>
              <w:t>（盖章）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7E33F70B">
            <w:pPr>
              <w:keepNext w:val="0"/>
              <w:keepLines w:val="0"/>
              <w:pageBreakBefore w:val="0"/>
              <w:widowControl w:val="0"/>
              <w:tabs>
                <w:tab w:val="left" w:pos="19"/>
              </w:tabs>
              <w:kinsoku/>
              <w:wordWrap/>
              <w:overflowPunct/>
              <w:topLinePunct w:val="0"/>
              <w:autoSpaceDE/>
              <w:autoSpaceDN/>
              <w:bidi w:val="0"/>
              <w:spacing w:line="500" w:lineRule="exact"/>
              <w:ind w:left="1198" w:leftChars="-1" w:hanging="1200" w:hangingChars="5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rPr>
              <w:t>地址：</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0A2E56F0">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rPr>
              <w:t>法定代表人或其授权</w:t>
            </w:r>
            <w:r>
              <w:rPr>
                <w:rFonts w:hint="eastAsia" w:ascii="仿宋" w:hAnsi="仿宋" w:eastAsia="仿宋" w:cs="仿宋"/>
                <w:color w:val="auto"/>
                <w:sz w:val="24"/>
                <w:szCs w:val="24"/>
                <w:highlight w:val="none"/>
                <w:u w:val="none"/>
                <w:lang w:val="en-US" w:eastAsia="zh-CN"/>
              </w:rPr>
              <w:t>代表</w:t>
            </w:r>
          </w:p>
          <w:p w14:paraId="5025382D">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（签字或盖章）：</w:t>
            </w:r>
            <w:r>
              <w:rPr>
                <w:rFonts w:hint="eastAsia" w:ascii="仿宋" w:hAnsi="仿宋" w:eastAsia="仿宋" w:cs="仿宋"/>
                <w:color w:val="auto"/>
                <w:sz w:val="24"/>
                <w:szCs w:val="24"/>
                <w:highlight w:val="none"/>
                <w:u w:val="none"/>
              </w:rPr>
              <w:t xml:space="preserve">                       </w:t>
            </w:r>
          </w:p>
          <w:p w14:paraId="1A4999F5">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开户行：</w:t>
            </w:r>
            <w:r>
              <w:rPr>
                <w:rFonts w:hint="eastAsia" w:ascii="仿宋" w:hAnsi="仿宋" w:eastAsia="仿宋" w:cs="仿宋"/>
                <w:color w:val="auto"/>
                <w:sz w:val="24"/>
                <w:szCs w:val="24"/>
                <w:highlight w:val="none"/>
                <w:u w:val="none"/>
              </w:rPr>
              <w:t xml:space="preserve">                       </w:t>
            </w:r>
          </w:p>
          <w:p w14:paraId="59244373">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账号：</w:t>
            </w:r>
            <w:r>
              <w:rPr>
                <w:rFonts w:hint="eastAsia" w:ascii="仿宋" w:hAnsi="仿宋" w:eastAsia="仿宋" w:cs="仿宋"/>
                <w:color w:val="auto"/>
                <w:sz w:val="24"/>
                <w:szCs w:val="24"/>
                <w:highlight w:val="none"/>
                <w:u w:val="none"/>
              </w:rPr>
              <w:t xml:space="preserve">                       </w:t>
            </w:r>
          </w:p>
          <w:p w14:paraId="70310F48">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电话：</w:t>
            </w:r>
            <w:r>
              <w:rPr>
                <w:rFonts w:hint="eastAsia" w:ascii="仿宋" w:hAnsi="仿宋" w:eastAsia="仿宋" w:cs="仿宋"/>
                <w:color w:val="auto"/>
                <w:sz w:val="24"/>
                <w:szCs w:val="24"/>
                <w:highlight w:val="none"/>
                <w:u w:val="none"/>
              </w:rPr>
              <w:t xml:space="preserve">                       </w:t>
            </w:r>
          </w:p>
          <w:p w14:paraId="3D416F61">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传真：</w:t>
            </w:r>
            <w:r>
              <w:rPr>
                <w:rFonts w:hint="eastAsia" w:ascii="仿宋" w:hAnsi="仿宋" w:eastAsia="仿宋" w:cs="仿宋"/>
                <w:color w:val="auto"/>
                <w:sz w:val="24"/>
                <w:szCs w:val="24"/>
                <w:highlight w:val="none"/>
                <w:u w:val="none"/>
              </w:rPr>
              <w:t xml:space="preserve">                       </w:t>
            </w:r>
          </w:p>
          <w:p w14:paraId="39EB8CB9">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电子邮箱：</w:t>
            </w:r>
            <w:r>
              <w:rPr>
                <w:rFonts w:hint="eastAsia" w:ascii="仿宋" w:hAnsi="仿宋" w:eastAsia="仿宋" w:cs="仿宋"/>
                <w:color w:val="auto"/>
                <w:sz w:val="24"/>
                <w:szCs w:val="24"/>
                <w:highlight w:val="none"/>
                <w:u w:val="none"/>
              </w:rPr>
              <w:t xml:space="preserve">                       </w:t>
            </w:r>
          </w:p>
          <w:p w14:paraId="0AA9C89B">
            <w:pPr>
              <w:keepNext w:val="0"/>
              <w:keepLines w:val="0"/>
              <w:pageBreakBefore w:val="0"/>
              <w:tabs>
                <w:tab w:val="left" w:pos="0"/>
              </w:tabs>
              <w:wordWrap/>
              <w:overflowPunct/>
              <w:topLinePunct w:val="0"/>
              <w:bidi w:val="0"/>
              <w:spacing w:line="500" w:lineRule="exact"/>
              <w:ind w:left="-6" w:hanging="23"/>
              <w:rPr>
                <w:rFonts w:hint="eastAsia" w:ascii="仿宋" w:hAnsi="仿宋" w:eastAsia="仿宋" w:cs="仿宋"/>
                <w:color w:val="auto"/>
                <w:sz w:val="24"/>
                <w:szCs w:val="24"/>
                <w:highlight w:val="none"/>
                <w:u w:val="none"/>
              </w:rPr>
            </w:pPr>
          </w:p>
        </w:tc>
        <w:tc>
          <w:tcPr>
            <w:tcW w:w="3827" w:type="dxa"/>
          </w:tcPr>
          <w:p w14:paraId="33D11C5A">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rPr>
              <w:t>乙方</w:t>
            </w:r>
            <w:r>
              <w:rPr>
                <w:rFonts w:hint="eastAsia" w:ascii="仿宋" w:hAnsi="仿宋" w:eastAsia="仿宋" w:cs="仿宋"/>
                <w:color w:val="auto"/>
                <w:sz w:val="24"/>
                <w:szCs w:val="24"/>
                <w:highlight w:val="none"/>
                <w:u w:val="none"/>
                <w:lang w:eastAsia="zh-CN"/>
              </w:rPr>
              <w:t>（盖章）</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74AEEB07">
            <w:pPr>
              <w:keepNext w:val="0"/>
              <w:keepLines w:val="0"/>
              <w:pageBreakBefore w:val="0"/>
              <w:widowControl w:val="0"/>
              <w:tabs>
                <w:tab w:val="left" w:pos="19"/>
              </w:tabs>
              <w:kinsoku/>
              <w:wordWrap/>
              <w:overflowPunct/>
              <w:topLinePunct w:val="0"/>
              <w:autoSpaceDE/>
              <w:autoSpaceDN/>
              <w:bidi w:val="0"/>
              <w:spacing w:line="500" w:lineRule="exact"/>
              <w:ind w:left="1198" w:leftChars="-1" w:hanging="1200" w:hangingChars="500"/>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rPr>
              <w:t>地址：</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5C7D31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rPr>
              <w:t>法定代表人或其授权</w:t>
            </w:r>
            <w:r>
              <w:rPr>
                <w:rFonts w:hint="eastAsia" w:ascii="仿宋" w:hAnsi="仿宋" w:eastAsia="仿宋" w:cs="仿宋"/>
                <w:color w:val="auto"/>
                <w:sz w:val="24"/>
                <w:szCs w:val="24"/>
                <w:highlight w:val="none"/>
                <w:u w:val="none"/>
                <w:lang w:val="en-US" w:eastAsia="zh-CN"/>
              </w:rPr>
              <w:t>代表</w:t>
            </w:r>
          </w:p>
          <w:p w14:paraId="019F299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（签字或盖章）：</w:t>
            </w:r>
            <w:r>
              <w:rPr>
                <w:rFonts w:hint="eastAsia" w:ascii="仿宋" w:hAnsi="仿宋" w:eastAsia="仿宋" w:cs="仿宋"/>
                <w:color w:val="auto"/>
                <w:sz w:val="24"/>
                <w:szCs w:val="24"/>
                <w:highlight w:val="none"/>
                <w:u w:val="none"/>
              </w:rPr>
              <w:t xml:space="preserve">                       </w:t>
            </w:r>
          </w:p>
          <w:p w14:paraId="7F122B9A">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开户行：</w:t>
            </w:r>
            <w:r>
              <w:rPr>
                <w:rFonts w:hint="eastAsia" w:ascii="仿宋" w:hAnsi="仿宋" w:eastAsia="仿宋" w:cs="仿宋"/>
                <w:color w:val="auto"/>
                <w:sz w:val="24"/>
                <w:szCs w:val="24"/>
                <w:highlight w:val="none"/>
                <w:u w:val="none"/>
              </w:rPr>
              <w:t xml:space="preserve">                       </w:t>
            </w:r>
          </w:p>
          <w:p w14:paraId="647EDCC5">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账号：</w:t>
            </w:r>
            <w:r>
              <w:rPr>
                <w:rFonts w:hint="eastAsia" w:ascii="仿宋" w:hAnsi="仿宋" w:eastAsia="仿宋" w:cs="仿宋"/>
                <w:color w:val="auto"/>
                <w:sz w:val="24"/>
                <w:szCs w:val="24"/>
                <w:highlight w:val="none"/>
                <w:u w:val="none"/>
              </w:rPr>
              <w:t xml:space="preserve">                       </w:t>
            </w:r>
          </w:p>
          <w:p w14:paraId="64FB93A7">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电话：</w:t>
            </w:r>
            <w:r>
              <w:rPr>
                <w:rFonts w:hint="eastAsia" w:ascii="仿宋" w:hAnsi="仿宋" w:eastAsia="仿宋" w:cs="仿宋"/>
                <w:color w:val="auto"/>
                <w:sz w:val="24"/>
                <w:szCs w:val="24"/>
                <w:highlight w:val="none"/>
                <w:u w:val="none"/>
              </w:rPr>
              <w:t xml:space="preserve">                       </w:t>
            </w:r>
          </w:p>
          <w:p w14:paraId="5C68557D">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传真：</w:t>
            </w:r>
            <w:r>
              <w:rPr>
                <w:rFonts w:hint="eastAsia" w:ascii="仿宋" w:hAnsi="仿宋" w:eastAsia="仿宋" w:cs="仿宋"/>
                <w:color w:val="auto"/>
                <w:sz w:val="24"/>
                <w:szCs w:val="24"/>
                <w:highlight w:val="none"/>
                <w:u w:val="none"/>
              </w:rPr>
              <w:t xml:space="preserve">                       </w:t>
            </w:r>
          </w:p>
          <w:p w14:paraId="01AD349A">
            <w:pPr>
              <w:keepNext w:val="0"/>
              <w:keepLines w:val="0"/>
              <w:pageBreakBefore w:val="0"/>
              <w:widowControl w:val="0"/>
              <w:tabs>
                <w:tab w:val="left" w:pos="19"/>
              </w:tabs>
              <w:kinsoku/>
              <w:wordWrap/>
              <w:overflowPunct/>
              <w:topLinePunct w:val="0"/>
              <w:autoSpaceDE/>
              <w:autoSpaceDN/>
              <w:bidi w:val="0"/>
              <w:spacing w:line="500" w:lineRule="exact"/>
              <w:ind w:left="-5" w:firstLine="2"/>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电子邮箱：</w:t>
            </w:r>
            <w:r>
              <w:rPr>
                <w:rFonts w:hint="eastAsia" w:ascii="仿宋" w:hAnsi="仿宋" w:eastAsia="仿宋" w:cs="仿宋"/>
                <w:color w:val="auto"/>
                <w:sz w:val="24"/>
                <w:szCs w:val="24"/>
                <w:highlight w:val="none"/>
                <w:u w:val="none"/>
              </w:rPr>
              <w:t xml:space="preserve">                       </w:t>
            </w:r>
          </w:p>
          <w:p w14:paraId="62AE2C55">
            <w:pPr>
              <w:keepNext w:val="0"/>
              <w:keepLines w:val="0"/>
              <w:pageBreakBefore w:val="0"/>
              <w:tabs>
                <w:tab w:val="left" w:pos="19"/>
              </w:tabs>
              <w:wordWrap/>
              <w:overflowPunct/>
              <w:topLinePunct w:val="0"/>
              <w:bidi w:val="0"/>
              <w:spacing w:line="500" w:lineRule="exact"/>
              <w:ind w:left="-5" w:firstLine="2"/>
              <w:rPr>
                <w:rFonts w:hint="eastAsia" w:ascii="仿宋" w:hAnsi="仿宋" w:eastAsia="仿宋" w:cs="仿宋"/>
                <w:color w:val="auto"/>
                <w:sz w:val="24"/>
                <w:szCs w:val="24"/>
                <w:highlight w:val="none"/>
                <w:u w:val="none"/>
              </w:rPr>
            </w:pPr>
          </w:p>
        </w:tc>
      </w:tr>
      <w:tr w14:paraId="6C47F719">
        <w:tblPrEx>
          <w:tblCellMar>
            <w:top w:w="0" w:type="dxa"/>
            <w:left w:w="28" w:type="dxa"/>
            <w:bottom w:w="0" w:type="dxa"/>
            <w:right w:w="28" w:type="dxa"/>
          </w:tblCellMar>
        </w:tblPrEx>
        <w:trPr>
          <w:trHeight w:val="264" w:hRule="atLeast"/>
          <w:jc w:val="center"/>
        </w:trPr>
        <w:tc>
          <w:tcPr>
            <w:tcW w:w="4092" w:type="dxa"/>
          </w:tcPr>
          <w:p w14:paraId="6EF858C3">
            <w:pPr>
              <w:keepNext w:val="0"/>
              <w:keepLines w:val="0"/>
              <w:pageBreakBefore w:val="0"/>
              <w:wordWrap/>
              <w:overflowPunct/>
              <w:topLinePunct w:val="0"/>
              <w:bidi w:val="0"/>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p>
        </w:tc>
        <w:tc>
          <w:tcPr>
            <w:tcW w:w="3827" w:type="dxa"/>
          </w:tcPr>
          <w:p w14:paraId="2CE085E7">
            <w:pPr>
              <w:keepNext w:val="0"/>
              <w:keepLines w:val="0"/>
              <w:pageBreakBefore w:val="0"/>
              <w:tabs>
                <w:tab w:val="left" w:pos="19"/>
              </w:tabs>
              <w:wordWrap/>
              <w:overflowPunct/>
              <w:topLinePunct w:val="0"/>
              <w:bidi w:val="0"/>
              <w:spacing w:line="500" w:lineRule="exact"/>
              <w:ind w:left="-5" w:firstLine="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p>
        </w:tc>
      </w:tr>
    </w:tbl>
    <w:p w14:paraId="60C8F49B">
      <w:pPr>
        <w:keepNext w:val="0"/>
        <w:keepLines w:val="0"/>
        <w:pageBreakBefore w:val="0"/>
        <w:wordWrap/>
        <w:overflowPunct/>
        <w:topLinePunct w:val="0"/>
        <w:bidi w:val="0"/>
        <w:spacing w:line="500" w:lineRule="exact"/>
        <w:rPr>
          <w:rFonts w:hint="eastAsia" w:ascii="仿宋" w:hAnsi="仿宋" w:eastAsia="仿宋" w:cs="仿宋"/>
          <w:color w:val="auto"/>
          <w:sz w:val="24"/>
          <w:szCs w:val="24"/>
          <w:highlight w:val="none"/>
        </w:rPr>
      </w:pPr>
    </w:p>
    <w:p w14:paraId="7304F966">
      <w:pPr>
        <w:pStyle w:val="9"/>
        <w:keepNext w:val="0"/>
        <w:keepLines w:val="0"/>
        <w:pageBreakBefore w:val="0"/>
        <w:wordWrap/>
        <w:overflowPunct/>
        <w:topLinePunct w:val="0"/>
        <w:bidi w:val="0"/>
        <w:spacing w:line="500" w:lineRule="exact"/>
        <w:rPr>
          <w:rFonts w:hint="eastAsia" w:ascii="仿宋" w:hAnsi="仿宋" w:eastAsia="仿宋" w:cs="仿宋"/>
          <w:color w:val="auto"/>
          <w:sz w:val="24"/>
          <w:szCs w:val="24"/>
          <w:lang w:val="en-US" w:eastAsia="zh-Hans"/>
        </w:rPr>
      </w:pPr>
    </w:p>
    <w:p w14:paraId="3B349EBD">
      <w:pPr>
        <w:keepNext w:val="0"/>
        <w:keepLines w:val="0"/>
        <w:pageBreakBefore w:val="0"/>
        <w:wordWrap/>
        <w:overflowPunct/>
        <w:topLinePunct w:val="0"/>
        <w:bidi w:val="0"/>
        <w:spacing w:line="500" w:lineRule="exact"/>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4522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EA540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EA540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B8092"/>
    <w:multiLevelType w:val="multilevel"/>
    <w:tmpl w:val="AF3B8092"/>
    <w:lvl w:ilvl="0" w:tentative="0">
      <w:start w:val="1"/>
      <w:numFmt w:val="decimal"/>
      <w:lvlText w:val="13.%1"/>
      <w:lvlJc w:val="left"/>
      <w:pPr>
        <w:ind w:left="1260" w:hanging="360"/>
      </w:pPr>
      <w:rPr>
        <w:rFonts w:hint="default"/>
        <w:b w:val="0"/>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1">
    <w:nsid w:val="B439A57D"/>
    <w:multiLevelType w:val="multilevel"/>
    <w:tmpl w:val="B439A57D"/>
    <w:lvl w:ilvl="0" w:tentative="0">
      <w:start w:val="2"/>
      <w:numFmt w:val="decimal"/>
      <w:lvlText w:val="13.%1"/>
      <w:lvlJc w:val="left"/>
      <w:pPr>
        <w:ind w:left="1260" w:hanging="360"/>
      </w:pPr>
      <w:rPr>
        <w:rFonts w:hint="default"/>
        <w:b w:val="0"/>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2">
    <w:nsid w:val="B5379179"/>
    <w:multiLevelType w:val="multilevel"/>
    <w:tmpl w:val="B5379179"/>
    <w:lvl w:ilvl="0" w:tentative="0">
      <w:start w:val="1"/>
      <w:numFmt w:val="decimal"/>
      <w:lvlText w:val="14.%1 "/>
      <w:lvlJc w:val="left"/>
      <w:pPr>
        <w:tabs>
          <w:tab w:val="left" w:pos="720"/>
        </w:tabs>
        <w:ind w:left="720" w:hanging="360"/>
      </w:pPr>
      <w:rPr>
        <w:rFonts w:hint="default"/>
        <w:lang w:eastAsia="zh-CN"/>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BB15A868"/>
    <w:multiLevelType w:val="multilevel"/>
    <w:tmpl w:val="BB15A868"/>
    <w:lvl w:ilvl="0" w:tentative="0">
      <w:start w:val="1"/>
      <w:numFmt w:val="decimal"/>
      <w:lvlText w:val="9.%1 "/>
      <w:lvlJc w:val="left"/>
      <w:pPr>
        <w:tabs>
          <w:tab w:val="left" w:pos="720"/>
        </w:tabs>
        <w:ind w:left="720" w:hanging="360"/>
      </w:pPr>
      <w:rPr>
        <w:rFonts w:hint="default"/>
        <w:lang w:eastAsia="zh-CN"/>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DBAA2826"/>
    <w:multiLevelType w:val="multilevel"/>
    <w:tmpl w:val="DBAA2826"/>
    <w:lvl w:ilvl="0" w:tentative="0">
      <w:start w:val="1"/>
      <w:numFmt w:val="decimal"/>
      <w:lvlText w:val="12.%1"/>
      <w:lvlJc w:val="left"/>
      <w:pPr>
        <w:ind w:left="1260" w:hanging="360"/>
      </w:pPr>
      <w:rPr>
        <w:rFonts w:hint="default"/>
        <w:b w:val="0"/>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5">
    <w:nsid w:val="0CD5585B"/>
    <w:multiLevelType w:val="multilevel"/>
    <w:tmpl w:val="0CD5585B"/>
    <w:lvl w:ilvl="0" w:tentative="0">
      <w:start w:val="1"/>
      <w:numFmt w:val="decimal"/>
      <w:lvlText w:val="7.%1"/>
      <w:lvlJc w:val="left"/>
      <w:pPr>
        <w:tabs>
          <w:tab w:val="left" w:pos="600"/>
        </w:tabs>
        <w:ind w:left="600" w:hanging="600"/>
      </w:pPr>
      <w:rPr>
        <w:rFonts w:hint="default"/>
      </w:rPr>
    </w:lvl>
    <w:lvl w:ilvl="1" w:tentative="0">
      <w:start w:val="1"/>
      <w:numFmt w:val="decimal"/>
      <w:lvlText w:val="7.%2"/>
      <w:lvlJc w:val="left"/>
      <w:pPr>
        <w:tabs>
          <w:tab w:val="left" w:pos="600"/>
        </w:tabs>
        <w:ind w:left="600" w:hanging="600"/>
      </w:pPr>
      <w:rPr>
        <w:rFonts w:hint="default"/>
      </w:rPr>
    </w:lvl>
    <w:lvl w:ilvl="2" w:tentative="0">
      <w:start w:val="1"/>
      <w:numFmt w:val="decimal"/>
      <w:lvlText w:val="%1.%2.%3"/>
      <w:lvlJc w:val="left"/>
      <w:pPr>
        <w:tabs>
          <w:tab w:val="left" w:pos="600"/>
        </w:tabs>
        <w:ind w:left="600" w:hanging="600"/>
      </w:pPr>
      <w:rPr>
        <w:rFonts w:hint="default"/>
      </w:rPr>
    </w:lvl>
    <w:lvl w:ilvl="3" w:tentative="0">
      <w:start w:val="1"/>
      <w:numFmt w:val="decimal"/>
      <w:lvlText w:val="%1.%2.%3.%4"/>
      <w:lvlJc w:val="left"/>
      <w:pPr>
        <w:tabs>
          <w:tab w:val="left" w:pos="600"/>
        </w:tabs>
        <w:ind w:left="600" w:hanging="600"/>
      </w:pPr>
      <w:rPr>
        <w:rFonts w:hint="eastAsia"/>
      </w:rPr>
    </w:lvl>
    <w:lvl w:ilvl="4" w:tentative="0">
      <w:start w:val="1"/>
      <w:numFmt w:val="decimal"/>
      <w:lvlText w:val="%1.%2.%3.%4.%5"/>
      <w:lvlJc w:val="left"/>
      <w:pPr>
        <w:tabs>
          <w:tab w:val="left" w:pos="600"/>
        </w:tabs>
        <w:ind w:left="600" w:hanging="600"/>
      </w:pPr>
      <w:rPr>
        <w:rFonts w:hint="eastAsia"/>
      </w:rPr>
    </w:lvl>
    <w:lvl w:ilvl="5" w:tentative="0">
      <w:start w:val="1"/>
      <w:numFmt w:val="decimal"/>
      <w:lvlText w:val="%1.%2.%3.%4.%5.%6"/>
      <w:lvlJc w:val="left"/>
      <w:pPr>
        <w:tabs>
          <w:tab w:val="left" w:pos="600"/>
        </w:tabs>
        <w:ind w:left="600" w:hanging="600"/>
      </w:pPr>
      <w:rPr>
        <w:rFonts w:hint="eastAsia"/>
      </w:rPr>
    </w:lvl>
    <w:lvl w:ilvl="6" w:tentative="0">
      <w:start w:val="1"/>
      <w:numFmt w:val="decimal"/>
      <w:lvlText w:val="%1.%2.%3.%4.%5.%6.%7"/>
      <w:lvlJc w:val="left"/>
      <w:pPr>
        <w:tabs>
          <w:tab w:val="left" w:pos="600"/>
        </w:tabs>
        <w:ind w:left="600" w:hanging="600"/>
      </w:pPr>
      <w:rPr>
        <w:rFonts w:hint="eastAsia"/>
      </w:rPr>
    </w:lvl>
    <w:lvl w:ilvl="7" w:tentative="0">
      <w:start w:val="1"/>
      <w:numFmt w:val="decimal"/>
      <w:lvlText w:val="%1.%2.%3.%4.%5.%6.%7.%8"/>
      <w:lvlJc w:val="left"/>
      <w:pPr>
        <w:tabs>
          <w:tab w:val="left" w:pos="600"/>
        </w:tabs>
        <w:ind w:left="600" w:hanging="600"/>
      </w:pPr>
      <w:rPr>
        <w:rFonts w:hint="eastAsia"/>
      </w:rPr>
    </w:lvl>
    <w:lvl w:ilvl="8" w:tentative="0">
      <w:start w:val="1"/>
      <w:numFmt w:val="decimal"/>
      <w:lvlText w:val="%1.%2.%3.%4.%5.%6.%7.%8.%9"/>
      <w:lvlJc w:val="left"/>
      <w:pPr>
        <w:tabs>
          <w:tab w:val="left" w:pos="600"/>
        </w:tabs>
        <w:ind w:left="600" w:hanging="600"/>
      </w:pPr>
      <w:rPr>
        <w:rFonts w:hint="eastAsia"/>
      </w:rPr>
    </w:lvl>
  </w:abstractNum>
  <w:abstractNum w:abstractNumId="6">
    <w:nsid w:val="190B7024"/>
    <w:multiLevelType w:val="multilevel"/>
    <w:tmpl w:val="190B7024"/>
    <w:lvl w:ilvl="0" w:tentative="0">
      <w:start w:val="1"/>
      <w:numFmt w:val="chineseCountingThousand"/>
      <w:lvlText w:val="%1、"/>
      <w:lvlJc w:val="left"/>
      <w:pPr>
        <w:tabs>
          <w:tab w:val="left" w:pos="648"/>
        </w:tabs>
        <w:ind w:left="648" w:hanging="648"/>
      </w:pPr>
      <w:rPr>
        <w:rFonts w:hint="eastAsia"/>
      </w:rPr>
    </w:lvl>
    <w:lvl w:ilvl="1" w:tentative="0">
      <w:start w:val="1"/>
      <w:numFmt w:val="decimal"/>
      <w:lvlText w:val="4.%2"/>
      <w:lvlJc w:val="left"/>
      <w:pPr>
        <w:tabs>
          <w:tab w:val="left" w:pos="360"/>
        </w:tabs>
        <w:ind w:left="360" w:hanging="360"/>
      </w:pPr>
      <w:rPr>
        <w:rFonts w:hint="eastAsia"/>
        <w:lang w:eastAsia="zh-CN"/>
      </w:rPr>
    </w:lvl>
    <w:lvl w:ilvl="2" w:tentative="0">
      <w:start w:val="1"/>
      <w:numFmt w:val="decimal"/>
      <w:lvlText w:val="5.%3"/>
      <w:lvlJc w:val="left"/>
      <w:pPr>
        <w:tabs>
          <w:tab w:val="left" w:pos="2340"/>
        </w:tabs>
        <w:ind w:left="2340" w:hanging="360"/>
      </w:pPr>
      <w:rPr>
        <w:rFonts w:hint="eastAsia"/>
        <w:b w:val="0"/>
      </w:rPr>
    </w:lvl>
    <w:lvl w:ilvl="3" w:tentative="0">
      <w:start w:val="6"/>
      <w:numFmt w:val="japaneseCounting"/>
      <w:lvlText w:val="%4、"/>
      <w:lvlJc w:val="left"/>
      <w:pPr>
        <w:tabs>
          <w:tab w:val="left" w:pos="3240"/>
        </w:tabs>
        <w:ind w:left="3240" w:hanging="720"/>
      </w:pPr>
      <w:rPr>
        <w:rFonts w:hint="eastAsia"/>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D920D8"/>
    <w:multiLevelType w:val="multilevel"/>
    <w:tmpl w:val="31D920D8"/>
    <w:lvl w:ilvl="0" w:tentative="0">
      <w:start w:val="1"/>
      <w:numFmt w:val="japaneseCounting"/>
      <w:lvlText w:val="%1、"/>
      <w:lvlJc w:val="left"/>
      <w:pPr>
        <w:tabs>
          <w:tab w:val="left" w:pos="1020"/>
        </w:tabs>
        <w:ind w:left="1020" w:hanging="480"/>
      </w:pPr>
      <w:rPr>
        <w:rFonts w:hint="eastAsia"/>
        <w:b/>
      </w:rPr>
    </w:lvl>
    <w:lvl w:ilvl="1" w:tentative="0">
      <w:start w:val="1"/>
      <w:numFmt w:val="decimal"/>
      <w:lvlText w:val="2.%2"/>
      <w:lvlJc w:val="left"/>
      <w:pPr>
        <w:tabs>
          <w:tab w:val="left" w:pos="3196"/>
        </w:tabs>
        <w:ind w:left="3196" w:hanging="360"/>
      </w:pPr>
      <w:rPr>
        <w:rFonts w:hint="eastAsia"/>
        <w:b w:val="0"/>
        <w:lang w:eastAsia="zh-C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459925C"/>
    <w:multiLevelType w:val="multilevel"/>
    <w:tmpl w:val="6459925C"/>
    <w:lvl w:ilvl="0" w:tentative="0">
      <w:start w:val="1"/>
      <w:numFmt w:val="decimal"/>
      <w:lvlText w:val="8.%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A9E5985"/>
    <w:multiLevelType w:val="multilevel"/>
    <w:tmpl w:val="7A9E5985"/>
    <w:lvl w:ilvl="0" w:tentative="0">
      <w:start w:val="1"/>
      <w:numFmt w:val="decimal"/>
      <w:lvlText w:val="3.%1"/>
      <w:lvlJc w:val="left"/>
      <w:pPr>
        <w:tabs>
          <w:tab w:val="left" w:pos="720"/>
        </w:tabs>
        <w:ind w:left="720" w:hanging="360"/>
      </w:pPr>
      <w:rPr>
        <w:rFonts w:hint="eastAsia"/>
        <w:lang w:eastAsia="zh-CN"/>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7"/>
  </w:num>
  <w:num w:numId="2">
    <w:abstractNumId w:val="9"/>
  </w:num>
  <w:num w:numId="3">
    <w:abstractNumId w:val="6"/>
  </w:num>
  <w:num w:numId="4">
    <w:abstractNumId w:val="5"/>
  </w:num>
  <w:num w:numId="5">
    <w:abstractNumId w:val="8"/>
  </w:num>
  <w:num w:numId="6">
    <w:abstractNumId w:val="3"/>
  </w:num>
  <w:num w:numId="7">
    <w:abstractNumId w:val="4"/>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345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公1"/>
    <w:basedOn w:val="1"/>
    <w:next w:val="1"/>
    <w:qFormat/>
    <w:uiPriority w:val="99"/>
    <w:pPr>
      <w:ind w:firstLine="200"/>
      <w:jc w:val="left"/>
    </w:pPr>
    <w:rPr>
      <w:rFonts w:eastAsia="仿宋_GB2312"/>
    </w:r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style>
  <w:style w:type="paragraph" w:styleId="7">
    <w:name w:val="List Paragraph"/>
    <w:basedOn w:val="1"/>
    <w:qFormat/>
    <w:uiPriority w:val="99"/>
    <w:pPr>
      <w:ind w:firstLine="420" w:firstLineChars="200"/>
    </w:pPr>
  </w:style>
  <w:style w:type="paragraph" w:customStyle="1" w:styleId="8">
    <w:name w:val="样式1"/>
    <w:basedOn w:val="1"/>
    <w:qFormat/>
    <w:uiPriority w:val="0"/>
    <w:pPr>
      <w:widowControl w:val="0"/>
      <w:jc w:val="both"/>
    </w:pPr>
    <w:rPr>
      <w:rFonts w:ascii="宋体" w:hAnsi="宋体"/>
      <w:kern w:val="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2026-06-10T11:10:35Z</dcterms:created>
  <dc:creator>Administrator</dc:creator>
  <cp:lastModifiedBy>慢慢慢半拍</cp:lastModifiedBy>
  <dcterms:modified xsi:type="dcterms:W3CDTF">2026-06-10T11:13:12Z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8C84D7997D854B1882C357E6FC9AC4EC_12</vt:lpwstr>
  </property>
</Properties>
</file>