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版本号：CGZC-2026-07520260901001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西安浐灞国际港2026年市属主流媒体宣传合作项目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CGZC-2026-075</w:t>
      </w:r>
      <w:r>
        <w:br/>
      </w:r>
      <w:r>
        <w:br/>
      </w:r>
      <w:r>
        <w:br/>
      </w:r>
    </w:p>
    <w:p>
      <w:pPr>
        <w:pStyle w:val="null3"/>
        <w:jc w:val="center"/>
        <w:outlineLvl w:val="2"/>
      </w:pPr>
      <w:r>
        <w:rPr>
          <w:rFonts w:ascii="仿宋_GB2312" w:hAnsi="仿宋_GB2312" w:cs="仿宋_GB2312" w:eastAsia="仿宋_GB2312"/>
          <w:sz w:val="28"/>
          <w:b/>
        </w:rPr>
        <w:t>西安浐灞国际港宣传文体局</w:t>
      </w:r>
    </w:p>
    <w:p>
      <w:pPr>
        <w:pStyle w:val="null3"/>
        <w:jc w:val="center"/>
        <w:outlineLvl w:val="2"/>
      </w:pPr>
      <w:r>
        <w:rPr>
          <w:rFonts w:ascii="仿宋_GB2312" w:hAnsi="仿宋_GB2312" w:cs="仿宋_GB2312" w:eastAsia="仿宋_GB2312"/>
          <w:sz w:val="28"/>
          <w:b/>
        </w:rPr>
        <w:t>陕西蒿天项目管理有限公司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2026年09月01日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陕西蒿天项目管理有限公司</w:t>
      </w:r>
      <w:r>
        <w:rPr>
          <w:rFonts w:ascii="仿宋_GB2312" w:hAnsi="仿宋_GB2312" w:cs="仿宋_GB2312" w:eastAsia="仿宋_GB2312"/>
        </w:rPr>
        <w:t>（以下简称“代理机构”）受</w:t>
      </w:r>
      <w:r>
        <w:rPr>
          <w:rFonts w:ascii="仿宋_GB2312" w:hAnsi="仿宋_GB2312" w:cs="仿宋_GB2312" w:eastAsia="仿宋_GB2312"/>
        </w:rPr>
        <w:t>西安浐灞国际港宣传文体局</w:t>
      </w:r>
      <w:r>
        <w:rPr>
          <w:rFonts w:ascii="仿宋_GB2312" w:hAnsi="仿宋_GB2312" w:cs="仿宋_GB2312" w:eastAsia="仿宋_GB2312"/>
        </w:rPr>
        <w:t>委托，拟对</w:t>
      </w:r>
      <w:r>
        <w:rPr>
          <w:rFonts w:ascii="仿宋_GB2312" w:hAnsi="仿宋_GB2312" w:cs="仿宋_GB2312" w:eastAsia="仿宋_GB2312"/>
        </w:rPr>
        <w:t>西安浐灞国际港2026年市属主流媒体宣传合作项目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CGZC-2026-075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西安浐灞国际港2026年市属主流媒体宣传合作项目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依据采购人宣传需求，提供宣传策划、内容生产、媒体发稿及相关配套服务。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采购包1（西安浐灞国际港2026年市属主流媒体宣传合作项目）：属于专门面向中小企业采购。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身份证明：法定代表人授权书（附法定代表人、被授权人身份证复印件及被授权人开标前三个月内任意一个月在本单位的社保缴纳证明），法定代表人直接参加磋商，须提供法定代表人身份证明。</w:t>
      </w:r>
    </w:p>
    <w:p>
      <w:pPr>
        <w:pStyle w:val="null3"/>
      </w:pPr>
      <w:r>
        <w:rPr>
          <w:rFonts w:ascii="仿宋_GB2312" w:hAnsi="仿宋_GB2312" w:cs="仿宋_GB2312" w:eastAsia="仿宋_GB2312"/>
        </w:rPr>
        <w:t>2、信用记录：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p>
      <w:pPr>
        <w:pStyle w:val="null3"/>
      </w:pPr>
      <w:r>
        <w:rPr>
          <w:rFonts w:ascii="仿宋_GB2312" w:hAnsi="仿宋_GB2312" w:cs="仿宋_GB2312" w:eastAsia="仿宋_GB2312"/>
        </w:rPr>
        <w:t>3、联合体：本项目不接受联合体磋商；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西安浐灞国际港宣传文体局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西安市浐灞国际港港务大道6号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029-83332078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陕西蒿天项目管理有限公司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西安市雁塔区含光路南段1号鹏豪苑1幢3单元1202室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尚顺谱、林锡之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029-81612268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西安浐灞国际港管理委员会政府采购管理股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马重霄</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029-83332439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国家发展和改革委员会办公厅颁发的《关于招标代理服务收费有关问题的通知》（发改办价格〔2003〕857号）的有关规定执行。 招标代理服务费交纳信息： 银行户名：陕西蒿天项目管理有限公司 开户银行：中国建设银行股份有限公司西安锦园新世纪支行 账号：61050175390000000337</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西安浐灞国际港宣传文体局</w:t>
      </w:r>
      <w:r>
        <w:rPr>
          <w:rFonts w:ascii="仿宋_GB2312" w:hAnsi="仿宋_GB2312" w:cs="仿宋_GB2312" w:eastAsia="仿宋_GB2312"/>
        </w:rPr>
        <w:t>和</w:t>
      </w:r>
      <w:r>
        <w:rPr>
          <w:rFonts w:ascii="仿宋_GB2312" w:hAnsi="仿宋_GB2312" w:cs="仿宋_GB2312" w:eastAsia="仿宋_GB2312"/>
        </w:rPr>
        <w:t>陕西蒿天项目管理有限公司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西安浐灞国际港宣传文体局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陕西蒿天项目管理有限公司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西安浐灞国际港宣传文体局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陕西蒿天项目管理有限公司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详见合同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符合国家、行业相关法律法规及采购人需求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陕西蒿天项目管理有限公司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陕西蒿天项目管理有限公司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陕西蒿天项目管理有限公司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联系人：尚顺谱、林锡之</w:t>
      </w:r>
    </w:p>
    <w:p>
      <w:pPr>
        <w:pStyle w:val="null3"/>
      </w:pPr>
      <w:r>
        <w:rPr>
          <w:rFonts w:ascii="仿宋_GB2312" w:hAnsi="仿宋_GB2312" w:cs="仿宋_GB2312" w:eastAsia="仿宋_GB2312"/>
        </w:rPr>
        <w:t>联系电话：029-81612268</w:t>
      </w:r>
    </w:p>
    <w:p>
      <w:pPr>
        <w:pStyle w:val="null3"/>
      </w:pPr>
      <w:r>
        <w:rPr>
          <w:rFonts w:ascii="仿宋_GB2312" w:hAnsi="仿宋_GB2312" w:cs="仿宋_GB2312" w:eastAsia="仿宋_GB2312"/>
        </w:rPr>
        <w:t>地址：西安市雁塔区含光路南段1号鹏豪苑1幢3单元1202室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依据采购人宣传需求，提供宣传策划、内容生产、媒体发稿及相关配套服务。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1,350,000.00</w:t>
      </w:r>
    </w:p>
    <w:p>
      <w:pPr>
        <w:pStyle w:val="null3"/>
      </w:pPr>
      <w:r>
        <w:rPr>
          <w:rFonts w:ascii="仿宋_GB2312" w:hAnsi="仿宋_GB2312" w:cs="仿宋_GB2312" w:eastAsia="仿宋_GB2312"/>
        </w:rPr>
        <w:t>采购包最高限价（元）: 1,350,000.00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西安浐灞国际港2026年市属主流媒体宣传合作项目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1,350,000.00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标的名称：西安浐灞国际港2026年市属主流媒体宣传合作项目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一、项目要求</w:t>
            </w:r>
          </w:p>
          <w:p>
            <w:pPr>
              <w:pStyle w:val="null3"/>
            </w:pPr>
            <w:r>
              <w:rPr>
                <w:rFonts w:ascii="仿宋_GB2312" w:hAnsi="仿宋_GB2312" w:cs="仿宋_GB2312" w:eastAsia="仿宋_GB2312"/>
              </w:rPr>
              <w:t>1.服务地点：采购人指定地点。</w:t>
            </w:r>
          </w:p>
          <w:p>
            <w:pPr>
              <w:pStyle w:val="null3"/>
            </w:pPr>
            <w:r>
              <w:rPr>
                <w:rFonts w:ascii="仿宋_GB2312" w:hAnsi="仿宋_GB2312" w:cs="仿宋_GB2312" w:eastAsia="仿宋_GB2312"/>
              </w:rPr>
              <w:t>2.服务期：自合同签订之日起至2027年2月28日。</w:t>
            </w:r>
          </w:p>
          <w:p>
            <w:pPr>
              <w:pStyle w:val="null3"/>
            </w:pPr>
            <w:r>
              <w:rPr>
                <w:rFonts w:ascii="仿宋_GB2312" w:hAnsi="仿宋_GB2312" w:cs="仿宋_GB2312" w:eastAsia="仿宋_GB2312"/>
              </w:rPr>
              <w:t>3.成交供应商不得将项目转包或分包给第三方。</w:t>
            </w:r>
          </w:p>
          <w:p>
            <w:pPr>
              <w:pStyle w:val="null3"/>
            </w:pPr>
            <w:r>
              <w:rPr>
                <w:rFonts w:ascii="仿宋_GB2312" w:hAnsi="仿宋_GB2312" w:cs="仿宋_GB2312" w:eastAsia="仿宋_GB2312"/>
              </w:rPr>
              <w:t>4.付款方式：①合同签订后支付合同总价的40%为预付款。</w:t>
            </w:r>
          </w:p>
          <w:p>
            <w:pPr>
              <w:pStyle w:val="null3"/>
            </w:pPr>
            <w:r>
              <w:rPr>
                <w:rFonts w:ascii="仿宋_GB2312" w:hAnsi="仿宋_GB2312" w:cs="仿宋_GB2312" w:eastAsia="仿宋_GB2312"/>
              </w:rPr>
              <w:t>②乙方完成全部服务内容，具体以提交给甲方的项目总结报告为准，报告中需体现已完成的服务内容达到合同要求的全部内容，经甲方验收合格后，支付剩余合同价款。</w:t>
            </w:r>
          </w:p>
          <w:p>
            <w:pPr>
              <w:pStyle w:val="null3"/>
            </w:pPr>
            <w:r>
              <w:rPr>
                <w:rFonts w:ascii="仿宋_GB2312" w:hAnsi="仿宋_GB2312" w:cs="仿宋_GB2312" w:eastAsia="仿宋_GB2312"/>
              </w:rPr>
              <w:t>付款依据：满足付款条件的情况下，乙方应向甲方出具书面付款通知(注明开户行及账户信息)以及符合国家财税规定的增值税发票，否则甲方有权延迟履行付款义务。如因乙方缘故(如开具增值税发票延误等)导致甲方无法按时付款，甲方不承担违约责任。</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rPr>
              <w:t>二、服务内容</w:t>
            </w:r>
          </w:p>
          <w:p>
            <w:pPr>
              <w:pStyle w:val="null3"/>
            </w:pPr>
            <w:r>
              <w:rPr>
                <w:rFonts w:ascii="仿宋_GB2312" w:hAnsi="仿宋_GB2312" w:cs="仿宋_GB2312" w:eastAsia="仿宋_GB2312"/>
              </w:rPr>
              <w:t>1.选题策划。服务期内，围绕市委、市政府重点工作部署及重要时间节点，结合西安浐灞国际港党工委、管委会年度工作安排，每周、每月组织选题策划会，提供常态化选题服务。服务期内提交年度主题宣传策划不少于2个。</w:t>
            </w:r>
          </w:p>
          <w:p>
            <w:pPr>
              <w:pStyle w:val="null3"/>
            </w:pPr>
            <w:r>
              <w:rPr>
                <w:rFonts w:ascii="仿宋_GB2312" w:hAnsi="仿宋_GB2312" w:cs="仿宋_GB2312" w:eastAsia="仿宋_GB2312"/>
              </w:rPr>
              <w:t>2.内容创作。服务期内，根据西安浐灞国际港党工委、管委会宣传需求，供应商须完成以下原创宣传产品的制作，具体数量及标准如下：</w:t>
            </w:r>
          </w:p>
          <w:p>
            <w:pPr>
              <w:pStyle w:val="null3"/>
            </w:pPr>
            <w:r>
              <w:rPr>
                <w:rFonts w:ascii="仿宋_GB2312" w:hAnsi="仿宋_GB2312" w:cs="仿宋_GB2312" w:eastAsia="仿宋_GB2312"/>
              </w:rPr>
              <w:t>原创稿件：服务期内完成200篇原创采写稿件。</w:t>
            </w:r>
          </w:p>
          <w:p>
            <w:pPr>
              <w:pStyle w:val="null3"/>
            </w:pPr>
            <w:r>
              <w:rPr>
                <w:rFonts w:ascii="仿宋_GB2312" w:hAnsi="仿宋_GB2312" w:cs="仿宋_GB2312" w:eastAsia="仿宋_GB2312"/>
              </w:rPr>
              <w:t>视频拍摄：服务期内累计完成10分钟（总时长）的视频，不含特殊特效及动画。</w:t>
            </w:r>
          </w:p>
          <w:p>
            <w:pPr>
              <w:pStyle w:val="null3"/>
            </w:pPr>
            <w:r>
              <w:rPr>
                <w:rFonts w:ascii="仿宋_GB2312" w:hAnsi="仿宋_GB2312" w:cs="仿宋_GB2312" w:eastAsia="仿宋_GB2312"/>
              </w:rPr>
              <w:t>图片拍摄：服务期内完成20次活动或会议现场拍摄。</w:t>
            </w:r>
          </w:p>
          <w:p>
            <w:pPr>
              <w:pStyle w:val="null3"/>
            </w:pPr>
            <w:r>
              <w:rPr>
                <w:rFonts w:ascii="仿宋_GB2312" w:hAnsi="仿宋_GB2312" w:cs="仿宋_GB2312" w:eastAsia="仿宋_GB2312"/>
              </w:rPr>
              <w:t>3.市级主流党媒发稿。服务期内，提供在西安市主流传统党媒《西安日报》《西安晚报》《西安发布App》《西安新闻网》《前方+App》及市级融合媒体平台公众号的发稿服务，发稿篇次不限。</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rPr>
              <w:t>三、服务要求</w:t>
            </w:r>
          </w:p>
          <w:p>
            <w:pPr>
              <w:pStyle w:val="null3"/>
            </w:pPr>
            <w:r>
              <w:rPr>
                <w:rFonts w:ascii="仿宋_GB2312" w:hAnsi="仿宋_GB2312" w:cs="仿宋_GB2312" w:eastAsia="仿宋_GB2312"/>
              </w:rPr>
              <w:t>（1）团队配置</w:t>
            </w:r>
          </w:p>
          <w:p>
            <w:pPr>
              <w:pStyle w:val="null3"/>
            </w:pPr>
            <w:r>
              <w:rPr>
                <w:rFonts w:ascii="仿宋_GB2312" w:hAnsi="仿宋_GB2312" w:cs="仿宋_GB2312" w:eastAsia="仿宋_GB2312"/>
              </w:rPr>
              <w:t>供应商须组建不少于6人的宣传对接专项团队，其中固定驻场人员3人（含2名采编人员、1名摄影摄像人员），其余人员按需调配，确保各专项工作专人负责。团队须具备原创采编、活动策划、摄影、摄像、视频剪辑及新媒体运营等综合能力。</w:t>
            </w:r>
          </w:p>
          <w:p>
            <w:pPr>
              <w:pStyle w:val="null3"/>
            </w:pPr>
            <w:r>
              <w:rPr>
                <w:rFonts w:ascii="仿宋_GB2312" w:hAnsi="仿宋_GB2312" w:cs="仿宋_GB2312" w:eastAsia="仿宋_GB2312"/>
              </w:rPr>
              <w:t>（2）服务质量：合格</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自合同签订之日起至2027年2月28日。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1.甲方进行验收，若认为验收不合格，乙方应重新调整且进行重新验收。 2.验收依据： ①本项目磋商文件、磋商响应文件； ②本合同及附件文本； ③合同签订时国家及行业现行的标准和技术规范。 ④乙方应向甲方提交项目实施过程中的所有资料，以便甲方日后检查工作。</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进度款，合同签订后支付合同总价的40%为预付款。，达到付款条件起30个工作日内，支付合同总金额的40.0%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乙方完成全部服务内容，具体以提交给甲方的项目总结报告为准，报告中需体现已完成的服务内容达到合同要求的全部内容，经甲方验收合格后，支付剩余合同价款。，达到付款条件起30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违约责任：1.按《中华人民共和国民法典》中的相关条款执行。 2.未按合同要求提供服务或服务质量不能满足本次项目要求，甲方有权终止合同和对乙方违约行为进行追究，同时按有关规定进行相应的处罚。 3.乙方因履行本合同义务造成第三人财产或人身损害的，应当自行承担损害赔偿义务。因此给甲方财产造成损失的，乙方应当予以赔偿。 4.乙方及其员工在履行本协议过程中受到第三人伤害的，应当予由乙方自行负责。 5.甲乙双方应遵守合同并执行合同中的各项规定，保证合同的正常履行。 6.如碰到不可抗力因素造成无法按照原计划提供服务的，由甲乙双方协商解决。 解决争议的方法：甲、乙双方应本着友好合作、积极协商的态度，严格履行本协议，因不可预见的因素或本协议未尽事宜发生争议，由双方协商解决,协商不成时，甲、乙双方同意向甲方所在地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1.本项目专门面向中小企业采购，供应商应为中小微企业或监狱企业或残疾人福利性单位。 2.本项目属性为服务。 3.本项目合同包1采购标的所属行业为：租赁和商务服务业； 4.本项目是否属于信用担保试点范围：否。 5.本项目为固定总价合同。 6.磋商中出现下列情形之一的，磋商小组应当启动异常低价投标(响应)审查程序：（1）投标(响应)报价低于全部通过符合性审查供应商投标(响应)报价平均值50%的，即投标(响应)报价〈全部通过符合性审查供应商投标(响应)报价平均值X50%；（2）投标(响应)报价低于通过符合性审查的次低报价供应商投标(响应)报价50%的，即投标(响应)报价〈通过符合性审查的次低报价供应商投标(响应)报价X50%；（3）投标(响应)报价低于采购项目最高限价45%的，即投标(响应)报价&lt;采购项目最高限价X45%；（4）磋商小组基于专业判断，认为供应商报价过低，有可能影响产品质量或者不能诚信履约的其他情形。磋商小组启动异常低价投标(响应)审查后，属于前述第1项至第4项情形的，应当要求相关供应商在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磋商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磋商小组应当将其作为无效投标(响应)处理。 磋商小组借助互联网等渠道查询相关信息的，应当严格遵守评审工作纪律，不得实施影响评审公正的行为。异常低价投标(响应)审查的启动原因、审查意见和审查结果应当在评审报告中记录，并随供应商提供的相关书面说明及证明材料，以及磋商小组有关互联网浏览、查询历史一并归档。</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法人、其他组织或自然人，并出具合法有效的营业执照或事业单位法人证书等国家规定的相关证明，自然人参与的提供其身份证明；2.提供2026年02月至今已缴纳的至少一个月的纳税证明或完税证明（任意税种），依法免税的单位应提供相关证明材料；3.提供2026年02月至今已缴存的至少一个月的社会保障资金缴存单据或社保机构开具的社会保险参保缴费情况证明，依法不需要缴纳社会保障资金的单位应提供相关证明材料；4.提供具有履行合同所必需的设备和专业技术能力的承诺；5.参加政府采购活动前三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的经审计的财务会计报告（成立时间至提交磋商响应文件截止时间不足一年的可提供成立后任意时段的资产负债表），或开标日期前三个月内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法定代表人授权书（附法定代表人、被授权人身份证复印件及被授权人开标前三个月内任意一个月在本单位的社保缴纳证明），法定代表人直接参加磋商，须提供法定代表人身份证明。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依据财库〔2026〕2号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磋商响应文件上法定代表人或其授权代表人的签字齐全并加盖公章</w:t>
            </w:r>
          </w:p>
        </w:tc>
        <w:tc>
          <w:tcPr>
            <w:tcW w:type="dxa" w:w="1661"/>
          </w:tcPr>
          <w:p>
            <w:pPr>
              <w:pStyle w:val="null3"/>
            </w:pPr>
            <w:r>
              <w:rPr>
                <w:rFonts w:ascii="仿宋_GB2312" w:hAnsi="仿宋_GB2312" w:cs="仿宋_GB2312" w:eastAsia="仿宋_GB2312"/>
              </w:rPr>
              <w:t>供应商参加政府采购活动承诺书.docx 业绩.docx 中小企业声明函 报价表 磋商方案说明书.docx 资格证明文件.docx 其他说明.docx 响应文件封面 残疾人福利性单位声明函 标的清单 磋商分项报价表.docx 响应函 商务条款偏离表.docx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是否专门面向中小企业</w:t>
            </w:r>
          </w:p>
        </w:tc>
        <w:tc>
          <w:tcPr>
            <w:tcW w:type="dxa" w:w="3322"/>
          </w:tcPr>
          <w:p>
            <w:pPr>
              <w:pStyle w:val="null3"/>
            </w:pPr>
            <w:r>
              <w:rPr>
                <w:rFonts w:ascii="仿宋_GB2312" w:hAnsi="仿宋_GB2312" w:cs="仿宋_GB2312" w:eastAsia="仿宋_GB2312"/>
              </w:rPr>
              <w:t>本项目专门面向中小企业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供应商参加政府采购活动承诺书.docx 业绩.docx 中小企业声明函 报价表 磋商方案说明书.docx 资格证明文件.docx 其他说明.docx 响应文件封面 残疾人福利性单位声明函 标的清单 磋商分项报价表.docx 响应函 商务条款偏离表.docx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磋商分项报价表.docx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磋商响应文件内容齐全、无遗漏（除评审因素外）</w:t>
            </w:r>
          </w:p>
        </w:tc>
        <w:tc>
          <w:tcPr>
            <w:tcW w:type="dxa" w:w="1661"/>
          </w:tcPr>
          <w:p>
            <w:pPr>
              <w:pStyle w:val="null3"/>
            </w:pPr>
            <w:r>
              <w:rPr>
                <w:rFonts w:ascii="仿宋_GB2312" w:hAnsi="仿宋_GB2312" w:cs="仿宋_GB2312" w:eastAsia="仿宋_GB2312"/>
              </w:rPr>
              <w:t>磋商方案说明书.docx 响应函 商务条款偏离表.docx 其他说明.docx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磋商方案说明书.docx 响应函 商务条款偏离表.docx 其他说明.docx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应满足磋商文件中要求的服务期</w:t>
            </w:r>
          </w:p>
        </w:tc>
        <w:tc>
          <w:tcPr>
            <w:tcW w:type="dxa" w:w="1661"/>
          </w:tcPr>
          <w:p>
            <w:pPr>
              <w:pStyle w:val="null3"/>
            </w:pPr>
            <w:r>
              <w:rPr>
                <w:rFonts w:ascii="仿宋_GB2312" w:hAnsi="仿宋_GB2312" w:cs="仿宋_GB2312" w:eastAsia="仿宋_GB2312"/>
              </w:rPr>
              <w:t>磋商方案说明书.docx 响应函 商务条款偏离表.docx 其他说明.docx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磋商方案说明书.docx 响应函 商务条款偏离表.docx 其他说明.docx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一、评审内容 针对本项目总体服务方案，包括但不限于：①内容策划与创作⽅案；②宣传推⼴⽅案；③信息采集方案；④原创视频拍摄制作服务⽅案等。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1.5分，每项评审内容每有一处缺陷扣0.5分，未提供得0分，满分18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一、评审内容 针对本项目保障措施，包括但不限于：①质量保证措施；②服务保证措施；③进度保证措施；④服务质量自检及整改措施等。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12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组织计划和人员构成</w:t>
            </w:r>
          </w:p>
        </w:tc>
        <w:tc>
          <w:tcPr>
            <w:tcW w:type="dxa" w:w="2492"/>
          </w:tcPr>
          <w:p>
            <w:pPr>
              <w:pStyle w:val="null3"/>
            </w:pPr>
            <w:r>
              <w:rPr>
                <w:rFonts w:ascii="仿宋_GB2312" w:hAnsi="仿宋_GB2312" w:cs="仿宋_GB2312" w:eastAsia="仿宋_GB2312"/>
              </w:rPr>
              <w:t>1.项⽬负责⼈：具有相关专业（包括但不限于影视制作、新闻传播、视觉传达、艺术设计、汉语⾔⽂学、新闻传播等）本科及以上学历，且具有5年及以上类似工作经验的得2分；注：学历须提供毕业证书或学信⽹证明资料；工作经验需提供有效证明材料，包括但不限于劳动合同或成果⽂件或公⽰公告等。（不提供或提供不全，本项不得分） 2.视频拍摄制作类⼈员：具有相关专业（包括但不限于影视制作、新闻传播、视觉传达、艺术设计等）专科及以上学历，每提供一个得1分；本项满分2分。注：学历须提供毕业证书或学信⽹证明资料。（不提供或提供不全，本项不得分） 3.所配备的服务团队人员，具有中华人民共和国新闻采编从业资格培训合格证书或新闻记者证(提供证书加盖公章附响应文件中)，每提供一个，得1分，最高得4分；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内控管理制度</w:t>
            </w:r>
          </w:p>
        </w:tc>
        <w:tc>
          <w:tcPr>
            <w:tcW w:type="dxa" w:w="2492"/>
          </w:tcPr>
          <w:p>
            <w:pPr>
              <w:pStyle w:val="null3"/>
            </w:pPr>
            <w:r>
              <w:rPr>
                <w:rFonts w:ascii="仿宋_GB2312" w:hAnsi="仿宋_GB2312" w:cs="仿宋_GB2312" w:eastAsia="仿宋_GB2312"/>
              </w:rPr>
              <w:t>一、评审内容 针对本项目内控管理制度，包括但不限于：①项目责任制度；②工作管理制度等。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6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反馈</w:t>
            </w:r>
          </w:p>
        </w:tc>
        <w:tc>
          <w:tcPr>
            <w:tcW w:type="dxa" w:w="2492"/>
          </w:tcPr>
          <w:p>
            <w:pPr>
              <w:pStyle w:val="null3"/>
            </w:pPr>
            <w:r>
              <w:rPr>
                <w:rFonts w:ascii="仿宋_GB2312" w:hAnsi="仿宋_GB2312" w:cs="仿宋_GB2312" w:eastAsia="仿宋_GB2312"/>
              </w:rPr>
              <w:t>供应商针对本项目提供①定期回访安排；②意⻅反馈机制，每提供一项内容得2分，满分4分。不提供不得分。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廉洁保密方案</w:t>
            </w:r>
          </w:p>
        </w:tc>
        <w:tc>
          <w:tcPr>
            <w:tcW w:type="dxa" w:w="2492"/>
          </w:tcPr>
          <w:p>
            <w:pPr>
              <w:pStyle w:val="null3"/>
            </w:pPr>
            <w:r>
              <w:rPr>
                <w:rFonts w:ascii="仿宋_GB2312" w:hAnsi="仿宋_GB2312" w:cs="仿宋_GB2312" w:eastAsia="仿宋_GB2312"/>
              </w:rPr>
              <w:t>针对本项目提供：①保密组织机构及责任制健全；②保密宣传教育工作完备；③职业道德准则；④廉洁从业措施；每提供一项内容得2分，满分8分。不提供不得分。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针对本次服务过程中可能遇到的突发事件及分析，并提供针对突发事件的响应时间、对策，每提供一项合理详细有可行性的应急方案得2分，满分10分。不提供不得分。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资料管理</w:t>
            </w:r>
          </w:p>
        </w:tc>
        <w:tc>
          <w:tcPr>
            <w:tcW w:type="dxa" w:w="2492"/>
          </w:tcPr>
          <w:p>
            <w:pPr>
              <w:pStyle w:val="null3"/>
            </w:pPr>
            <w:r>
              <w:rPr>
                <w:rFonts w:ascii="仿宋_GB2312" w:hAnsi="仿宋_GB2312" w:cs="仿宋_GB2312" w:eastAsia="仿宋_GB2312"/>
              </w:rPr>
              <w:t>一、评审内容 供应商针对本项目提供①资料管理方案；②资料移交工作制度。 二、评审标准： 方案全面，对评审内容中的要求有详细阐述；切合本项目实际情况，步骤清晰、合理得4分，每一项评审内容缺项扣2分，任意一项评审内容存在一处缺陷，扣0.5分，扣完为止。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对本项目服务工作中的常见问题进行梳理，具有良好的解决方案并及时向采购人提出合理化建议，每提供一条有效的建议得1分，满分5分。不提供不得分。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供应商2023年01月01日至今类似项目业绩，每提供1份得2分，最高得10分； 业绩证明（以合同/协议或中标/成交通知书为准，须在磋商响应文件中附合同/协议或中标/成交通知书的扫描件加盖单位公章。）弄虚作假者，取消其中标资格。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对符合政策性扣减的供应商的有效磋商价格进行政策性扣减，并依据扣减后的价格（评审价格）进行价格评审。2.满足磋商文件实质性要求且最终报价最低的供应商的价格为磋商基准价，其价格分15分。3.磋商报价得分=（磋商基准价/最终磋商报价）×15的公式计算得分。4.磋商报价不完整的，不进入磋商基准价的计算，本项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详见附件：磋商方案说明书.docx</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详见附件：其他说明.docx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详见附件：西安浐灞国际港宣传文体局西安浐灞国际港2026年市属主流媒体宣传合作项目合同.docx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