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17BC6D">
      <w:pPr>
        <w:jc w:val="center"/>
        <w:rPr>
          <w:rFonts w:hint="eastAsia"/>
          <w:b/>
          <w:sz w:val="52"/>
          <w:szCs w:val="52"/>
          <w:highlight w:val="none"/>
          <w:lang w:eastAsia="zh-CN"/>
        </w:rPr>
      </w:pPr>
    </w:p>
    <w:p w14:paraId="3CD36CF8">
      <w:pPr>
        <w:jc w:val="center"/>
        <w:rPr>
          <w:sz w:val="30"/>
          <w:szCs w:val="30"/>
          <w:highlight w:val="none"/>
        </w:rPr>
      </w:pPr>
      <w:bookmarkStart w:id="6" w:name="_GoBack"/>
      <w:bookmarkEnd w:id="6"/>
      <w:r>
        <w:rPr>
          <w:rFonts w:hint="eastAsia"/>
          <w:b/>
          <w:sz w:val="52"/>
          <w:szCs w:val="52"/>
          <w:highlight w:val="none"/>
          <w:lang w:eastAsia="zh-CN"/>
        </w:rPr>
        <w:t>西安浐灞国际港宣传文体局西安浐灞国际港2026年市属主流媒体宣传合作项目</w:t>
      </w:r>
    </w:p>
    <w:p w14:paraId="04D14EA8">
      <w:pPr>
        <w:jc w:val="center"/>
        <w:rPr>
          <w:rFonts w:hint="eastAsia"/>
          <w:b/>
          <w:sz w:val="30"/>
          <w:szCs w:val="30"/>
          <w:highlight w:val="none"/>
        </w:rPr>
      </w:pPr>
    </w:p>
    <w:p w14:paraId="209A93CE">
      <w:pPr>
        <w:jc w:val="center"/>
        <w:rPr>
          <w:rFonts w:hint="eastAsia"/>
          <w:b/>
          <w:sz w:val="30"/>
          <w:szCs w:val="30"/>
          <w:highlight w:val="none"/>
        </w:rPr>
      </w:pPr>
      <w:r>
        <w:rPr>
          <w:rFonts w:hint="eastAsia"/>
          <w:b/>
          <w:sz w:val="30"/>
          <w:szCs w:val="30"/>
          <w:highlight w:val="none"/>
        </w:rPr>
        <w:t>（示范文本）</w:t>
      </w:r>
    </w:p>
    <w:p w14:paraId="4BAE6C73">
      <w:pPr>
        <w:pStyle w:val="4"/>
        <w:rPr>
          <w:highlight w:val="none"/>
        </w:rPr>
      </w:pPr>
    </w:p>
    <w:p w14:paraId="48B1C34C">
      <w:pPr>
        <w:jc w:val="center"/>
        <w:rPr>
          <w:rFonts w:hint="eastAsia"/>
          <w:b/>
          <w:sz w:val="52"/>
          <w:szCs w:val="52"/>
          <w:highlight w:val="none"/>
          <w:lang w:val="en-US" w:eastAsia="zh-CN"/>
        </w:rPr>
      </w:pPr>
      <w:r>
        <w:rPr>
          <w:rFonts w:hint="eastAsia"/>
          <w:b/>
          <w:sz w:val="52"/>
          <w:szCs w:val="52"/>
          <w:highlight w:val="none"/>
          <w:lang w:val="en-US" w:eastAsia="zh-CN"/>
        </w:rPr>
        <w:t>合 同 书</w:t>
      </w:r>
    </w:p>
    <w:p w14:paraId="6BFF7177">
      <w:pPr>
        <w:rPr>
          <w:rFonts w:hint="eastAsia" w:eastAsia="宋体"/>
          <w:sz w:val="30"/>
          <w:szCs w:val="30"/>
          <w:highlight w:val="none"/>
          <w:lang w:eastAsia="zh-CN"/>
        </w:rPr>
      </w:pPr>
    </w:p>
    <w:p w14:paraId="48F30F31">
      <w:pPr>
        <w:rPr>
          <w:rFonts w:hint="eastAsia" w:eastAsia="宋体"/>
          <w:sz w:val="30"/>
          <w:szCs w:val="30"/>
          <w:highlight w:val="none"/>
          <w:lang w:eastAsia="zh-CN"/>
        </w:rPr>
      </w:pPr>
    </w:p>
    <w:p w14:paraId="4697A7EB">
      <w:pPr>
        <w:rPr>
          <w:rFonts w:hint="eastAsia" w:eastAsia="宋体"/>
          <w:sz w:val="30"/>
          <w:szCs w:val="30"/>
          <w:highlight w:val="none"/>
          <w:lang w:eastAsia="zh-CN"/>
        </w:rPr>
      </w:pPr>
    </w:p>
    <w:p w14:paraId="79F44BC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2208" w:firstLineChars="611"/>
        <w:textAlignment w:val="auto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甲方：</w:t>
      </w:r>
      <w:r>
        <w:rPr>
          <w:rFonts w:hint="eastAsia" w:cs="宋体"/>
          <w:b/>
          <w:bCs/>
          <w:color w:val="auto"/>
          <w:sz w:val="36"/>
          <w:szCs w:val="36"/>
          <w:highlight w:val="none"/>
          <w:u w:val="single"/>
          <w:lang w:val="en-US" w:eastAsia="zh-CN"/>
        </w:rPr>
        <w:t xml:space="preserve">                       </w:t>
      </w:r>
    </w:p>
    <w:p w14:paraId="3E92CED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2208" w:firstLineChars="611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</w:p>
    <w:p w14:paraId="66247AE6">
      <w:pPr>
        <w:kinsoku w:val="0"/>
        <w:spacing w:line="360" w:lineRule="auto"/>
        <w:ind w:firstLine="2168" w:firstLineChars="600"/>
        <w:jc w:val="both"/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乙方：</w:t>
      </w:r>
      <w:r>
        <w:rPr>
          <w:rFonts w:hint="eastAsia" w:cs="宋体"/>
          <w:b/>
          <w:bCs/>
          <w:color w:val="auto"/>
          <w:sz w:val="36"/>
          <w:szCs w:val="36"/>
          <w:highlight w:val="none"/>
          <w:u w:val="single"/>
          <w:lang w:val="en-US" w:eastAsia="zh-CN"/>
        </w:rPr>
        <w:t xml:space="preserve">                       </w:t>
      </w:r>
    </w:p>
    <w:p w14:paraId="7F925B9E">
      <w:pPr>
        <w:rPr>
          <w:sz w:val="30"/>
          <w:szCs w:val="30"/>
          <w:highlight w:val="none"/>
        </w:rPr>
      </w:pPr>
    </w:p>
    <w:p w14:paraId="3830BB03">
      <w:pPr>
        <w:rPr>
          <w:sz w:val="30"/>
          <w:szCs w:val="30"/>
          <w:highlight w:val="none"/>
        </w:rPr>
      </w:pPr>
    </w:p>
    <w:p w14:paraId="1C24774B">
      <w:pPr>
        <w:jc w:val="center"/>
        <w:rPr>
          <w:b/>
          <w:highlight w:val="none"/>
        </w:rPr>
      </w:pPr>
    </w:p>
    <w:p w14:paraId="63D66DEA">
      <w:pPr>
        <w:ind w:firstLine="960"/>
        <w:jc w:val="center"/>
        <w:rPr>
          <w:highlight w:val="none"/>
        </w:rPr>
      </w:pPr>
      <w:r>
        <w:rPr>
          <w:rFonts w:hint="eastAsia"/>
          <w:sz w:val="48"/>
          <w:szCs w:val="48"/>
          <w:highlight w:val="none"/>
        </w:rPr>
        <w:br w:type="page"/>
      </w:r>
    </w:p>
    <w:p w14:paraId="3A8812D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甲  方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（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）：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                                     </w:t>
      </w:r>
    </w:p>
    <w:p w14:paraId="20C4CC8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乙  方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（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）：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</w:p>
    <w:p w14:paraId="63DB2B2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根据《中华人民共和国政府采购法》及实施条例、《中华人民共和国民法典》及其他有关法律、法规，遵循平等、自愿、公平和诚信的原则，双方就下述项目范围与相关服务事项协商一致，订立本合同。</w:t>
      </w:r>
    </w:p>
    <w:p w14:paraId="07FBBF5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bookmarkStart w:id="0" w:name="_Toc9604"/>
      <w:bookmarkStart w:id="1" w:name="_Toc3289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一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项目概况</w:t>
      </w:r>
      <w:bookmarkEnd w:id="0"/>
      <w:bookmarkEnd w:id="1"/>
    </w:p>
    <w:p w14:paraId="5F05D36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</w:t>
      </w:r>
    </w:p>
    <w:p w14:paraId="72257A8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</w:t>
      </w:r>
    </w:p>
    <w:p w14:paraId="1CD256D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bookmarkStart w:id="2" w:name="_Toc16118"/>
      <w:bookmarkStart w:id="3" w:name="_Toc12772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.服务内容：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</w:t>
      </w:r>
    </w:p>
    <w:p w14:paraId="74ACD44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u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服务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</w:p>
    <w:p w14:paraId="11597BD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二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组成本合同的文件</w:t>
      </w:r>
      <w:bookmarkEnd w:id="2"/>
      <w:bookmarkEnd w:id="3"/>
    </w:p>
    <w:p w14:paraId="3AA38AF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协议书；</w:t>
      </w:r>
    </w:p>
    <w:p w14:paraId="55BAFF7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.成交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通知书、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文件、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文件、澄清；</w:t>
      </w:r>
    </w:p>
    <w:p w14:paraId="07CD117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相关服务建议书；</w:t>
      </w:r>
    </w:p>
    <w:p w14:paraId="7A131F7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bookmarkStart w:id="4" w:name="_Toc26662"/>
      <w:bookmarkStart w:id="5" w:name="_Toc1597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本合同签订后，双方依法签订的补充协议也是本合同文件的组成部分。</w:t>
      </w:r>
    </w:p>
    <w:bookmarkEnd w:id="4"/>
    <w:bookmarkEnd w:id="5"/>
    <w:p w14:paraId="458F7957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三、合同价款</w:t>
      </w:r>
    </w:p>
    <w:p w14:paraId="7D47329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合同形式：固定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总价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</w:t>
      </w:r>
    </w:p>
    <w:p w14:paraId="1B2BABB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总价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（大写）：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（小写）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</w:rPr>
        <w:t>¥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元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>具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体明细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>详见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附件。</w:t>
      </w:r>
    </w:p>
    <w:p w14:paraId="15B639F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本合同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总价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为完成本项目所要求内容且验收合格的所有费用，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应在报价表中标明完成本次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所要求内容且验收合格的所有费用,</w:t>
      </w:r>
      <w:r>
        <w:rPr>
          <w:rFonts w:hint="eastAsia" w:hAnsi="宋体" w:cs="宋体"/>
          <w:color w:val="auto"/>
          <w:sz w:val="24"/>
          <w:szCs w:val="24"/>
          <w:highlight w:val="none"/>
          <w:lang w:eastAsia="zh-CN"/>
        </w:rPr>
        <w:t>包括但不限于人员工资、社会保险及按规定提取的福利费、材料费、策划费、临时性加班的加班费用、法定税费、合理利润以及</w:t>
      </w:r>
      <w:r>
        <w:rPr>
          <w:rFonts w:hint="eastAsia" w:ascii="宋体" w:hAnsi="宋体" w:eastAsia="宋体" w:cs="宋体"/>
          <w:color w:val="000000"/>
          <w:spacing w:val="0"/>
          <w:kern w:val="0"/>
          <w:position w:val="0"/>
          <w:sz w:val="24"/>
          <w:szCs w:val="24"/>
          <w:highlight w:val="none"/>
          <w:lang w:val="en-US" w:eastAsia="zh-CN" w:bidi="ar"/>
        </w:rPr>
        <w:t>完成工作准备阶段、实施阶段、成果交付阶段、验收阶段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等其他一切相关费用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61726432">
      <w:pPr>
        <w:pStyle w:val="5"/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after="0"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四、付款方式及付款依据</w:t>
      </w:r>
    </w:p>
    <w:p w14:paraId="4DA5473E">
      <w:pPr>
        <w:pStyle w:val="5"/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付款方式：①合同签订后支付合同总价的40%为预付款。</w:t>
      </w:r>
    </w:p>
    <w:p w14:paraId="79B5AE54">
      <w:pPr>
        <w:pStyle w:val="5"/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②乙方完成全部服务内容，具体以提交给甲方的项目总结报告为准，报告中需体现已完成的服务内容达到合同要求的全部内容，经甲方验收合格后，支付剩余合同价款。</w:t>
      </w:r>
    </w:p>
    <w:p w14:paraId="30039BAE">
      <w:pPr>
        <w:pStyle w:val="5"/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付款依据：满足付款条件的情况下，乙方应向甲方出具书面付款通知(注明开户行及账户信息)以及符合国家财税规定的增值税发票，否则甲方有权延迟履行付款义务。如因乙方缘故(如开具增值税发票延误等)导致甲方无法按时付款，甲方不承担违约责任。</w:t>
      </w:r>
    </w:p>
    <w:p w14:paraId="47D50C2F">
      <w:pPr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3.</w:t>
      </w:r>
      <w:r>
        <w:rPr>
          <w:rFonts w:hint="eastAsia" w:hAnsi="宋体"/>
          <w:szCs w:val="24"/>
          <w:highlight w:val="none"/>
          <w:lang w:val="en-US" w:eastAsia="zh-CN"/>
        </w:rPr>
        <w:t>其他：本项目预付款是根据政府采购相关政策规定要求,乙方应保证该资金用于项目前期各项工作费用，不得挪作他用，若因此项目进展受到影响，乙方承担由此引起的所有责任。</w:t>
      </w:r>
    </w:p>
    <w:p w14:paraId="5F66D22E">
      <w:pPr>
        <w:pStyle w:val="5"/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after="0" w:line="360" w:lineRule="auto"/>
        <w:ind w:firstLine="0" w:firstLineChars="0"/>
        <w:textAlignment w:val="auto"/>
        <w:rPr>
          <w:rFonts w:hint="default" w:ascii="宋体" w:hAnsi="宋体" w:cs="宋体"/>
          <w:b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4"/>
          <w:szCs w:val="24"/>
          <w:highlight w:val="none"/>
          <w:lang w:val="en-US" w:eastAsia="zh-CN"/>
        </w:rPr>
        <w:t>五、服务质量：合格</w:t>
      </w:r>
    </w:p>
    <w:p w14:paraId="2C2D3E06">
      <w:pPr>
        <w:pStyle w:val="5"/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after="0"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kern w:val="0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  <w:highlight w:val="none"/>
          <w:lang w:val="en-US" w:eastAsia="zh-CN"/>
        </w:rPr>
        <w:t>双方的责任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与义务</w:t>
      </w:r>
    </w:p>
    <w:p w14:paraId="1C6E76AB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1.甲乙双方必须遵守本合同并执行合同中的各项规定，保证本合同的正常履行。</w:t>
      </w:r>
    </w:p>
    <w:p w14:paraId="4C576FE9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2.本合同签订后甲乙双方不得单方终止合同，如乙方违约，应赔偿给甲方实际造成的损失；如甲方违约，乙方收取的钱款不予退还。</w:t>
      </w:r>
    </w:p>
    <w:p w14:paraId="7689A0FD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3.如因乙方存在以下行为，甲方有权终止合同，依法向乙方进行经济索赔，并报请政府采购监督管理机关进行相应的行政处罚。</w:t>
      </w:r>
    </w:p>
    <w:p w14:paraId="6764010B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①存在弄虚作假、传递虚假信息等违法违规行为；</w:t>
      </w:r>
    </w:p>
    <w:p w14:paraId="4AA80062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②基础设施及人员仪器设备不能满足需要，提出后拒不整改；</w:t>
      </w:r>
    </w:p>
    <w:p w14:paraId="23C7317D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③存在不规范操作行为；</w:t>
      </w:r>
    </w:p>
    <w:p w14:paraId="6103673D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④未全面履行合同义务或者发生违约。</w:t>
      </w:r>
    </w:p>
    <w:p w14:paraId="68BCDDED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4.甲方违约的，应当赔偿给乙方造成的直接经济损失。</w:t>
      </w:r>
    </w:p>
    <w:p w14:paraId="399D0742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5.本合同未经双方同意，任何一方不得以任何形式公开本合同及附件内容，以确保双方的商业机密。</w:t>
      </w:r>
    </w:p>
    <w:p w14:paraId="705FA3C2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6.乙方工作人员在履行职务过程中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5BA89951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7.乙方应自行与其服务人员签订劳动合同、建立合法的劳动合同关系，并按照法律法规规定支付劳动报酬，按国家规定缴纳社保；甲方与乙方服务人员之间无劳动合同关系，不承担任何劳动合同义务，亦不对乙方与其服务人员之间的劳动合同纠纷承担任何连带责任。一旦甲方基于法律规定、生效仲裁裁决、法院判决而承担劳动合同纠纷连带责任的，乙方应赔偿甲方因此而受到的损失，包括但不限于违约金、赔偿金、行政处罚、仲裁费、诉讼费、律师费等。</w:t>
      </w:r>
    </w:p>
    <w:p w14:paraId="1C4D63C7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8.乙方服务人员在服务过程中受到人身损害或财产损失的，由乙方或乙方服务人员自行负责，</w:t>
      </w: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对此不承担任何责任。</w:t>
      </w:r>
    </w:p>
    <w:p w14:paraId="2315D9F7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、验收</w:t>
      </w:r>
    </w:p>
    <w:p w14:paraId="7878E541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1.</w:t>
      </w: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进行验收，若认为验收不合格，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应重新调整且进行重新验收。</w:t>
      </w:r>
    </w:p>
    <w:p w14:paraId="6DEB1E9B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2.验收依据：</w:t>
      </w:r>
    </w:p>
    <w:p w14:paraId="0A316E55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①本项目磋商文件、磋商响应文件；</w:t>
      </w:r>
    </w:p>
    <w:p w14:paraId="0E52064E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②本合同及附件文本；</w:t>
      </w:r>
    </w:p>
    <w:p w14:paraId="17BF7621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③合同签订时国家及行业现行的标准和技术规范。</w:t>
      </w:r>
    </w:p>
    <w:p w14:paraId="714F5080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④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应向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提交项目实施过程中的所有资料，以便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日后检查工作。</w:t>
      </w:r>
    </w:p>
    <w:p w14:paraId="3477B459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、违约责任</w:t>
      </w:r>
    </w:p>
    <w:p w14:paraId="4B237B70">
      <w:pPr>
        <w:pStyle w:val="9"/>
        <w:spacing w:line="360" w:lineRule="auto"/>
        <w:ind w:firstLine="480" w:firstLineChars="200"/>
        <w:jc w:val="both"/>
        <w:rPr>
          <w:rFonts w:hint="eastAsia" w:cs="宋体" w:asciiTheme="minorEastAsia" w:hAnsiTheme="minorEastAsia"/>
          <w:sz w:val="24"/>
          <w:szCs w:val="24"/>
          <w:highlight w:val="none"/>
        </w:rPr>
      </w:pPr>
      <w:r>
        <w:rPr>
          <w:rFonts w:hint="eastAsia" w:cs="宋体" w:asciiTheme="minorEastAsia" w:hAnsiTheme="minorEastAsia"/>
          <w:sz w:val="24"/>
          <w:szCs w:val="24"/>
          <w:highlight w:val="none"/>
        </w:rPr>
        <w:t>1.按《中华人民共和国民法典》中的相关条款执行。</w:t>
      </w:r>
    </w:p>
    <w:p w14:paraId="61F3D032">
      <w:pPr>
        <w:pStyle w:val="9"/>
        <w:spacing w:line="360" w:lineRule="auto"/>
        <w:ind w:firstLine="480" w:firstLineChars="200"/>
        <w:jc w:val="both"/>
        <w:rPr>
          <w:rFonts w:hint="eastAsia" w:cs="宋体" w:asciiTheme="minorEastAsia" w:hAnsiTheme="minorEastAsia"/>
          <w:sz w:val="24"/>
          <w:szCs w:val="24"/>
          <w:highlight w:val="none"/>
        </w:rPr>
      </w:pPr>
      <w:r>
        <w:rPr>
          <w:rFonts w:hint="eastAsia" w:cs="宋体" w:asciiTheme="minorEastAsia" w:hAnsiTheme="minorEastAsia"/>
          <w:sz w:val="24"/>
          <w:szCs w:val="24"/>
          <w:highlight w:val="none"/>
        </w:rPr>
        <w:t>2.未按合同要求提供服务或服务质量不能满足本次项目要求，甲方有权终止合同和对乙方违约行为进行追究，同时按有关规定进行相应的处罚。</w:t>
      </w:r>
    </w:p>
    <w:p w14:paraId="61723269">
      <w:pPr>
        <w:pStyle w:val="9"/>
        <w:spacing w:line="360" w:lineRule="auto"/>
        <w:ind w:firstLine="480" w:firstLineChars="200"/>
        <w:jc w:val="both"/>
        <w:rPr>
          <w:rFonts w:hint="eastAsia" w:cs="宋体" w:asciiTheme="minorEastAsia" w:hAnsiTheme="minorEastAsia"/>
          <w:sz w:val="24"/>
          <w:szCs w:val="24"/>
          <w:highlight w:val="none"/>
        </w:rPr>
      </w:pPr>
      <w:r>
        <w:rPr>
          <w:rFonts w:hint="eastAsia" w:cs="宋体" w:asciiTheme="minorEastAsia" w:hAnsiTheme="minorEastAsia"/>
          <w:sz w:val="24"/>
          <w:szCs w:val="24"/>
          <w:highlight w:val="none"/>
        </w:rPr>
        <w:t>3.乙方因履行本合同义务造成第三人财产或人身损害的，应当自行承担损害赔偿义务。因此给甲方财产造成损失的，乙方应当予以赔偿。</w:t>
      </w:r>
    </w:p>
    <w:p w14:paraId="412CD9AA">
      <w:pPr>
        <w:pStyle w:val="9"/>
        <w:spacing w:line="360" w:lineRule="auto"/>
        <w:ind w:firstLine="480" w:firstLineChars="200"/>
        <w:jc w:val="both"/>
        <w:rPr>
          <w:rFonts w:hint="eastAsia" w:cs="宋体" w:asciiTheme="minorEastAsia" w:hAnsiTheme="minorEastAsia"/>
          <w:sz w:val="24"/>
          <w:szCs w:val="24"/>
          <w:highlight w:val="none"/>
        </w:rPr>
      </w:pPr>
      <w:r>
        <w:rPr>
          <w:rFonts w:hint="eastAsia" w:cs="宋体" w:asciiTheme="minorEastAsia" w:hAnsiTheme="minorEastAsia"/>
          <w:sz w:val="24"/>
          <w:szCs w:val="24"/>
          <w:highlight w:val="none"/>
        </w:rPr>
        <w:t>4.乙方及其员工在履行本协议过程中受到第三人伤害的，应当予由乙方自行负责。</w:t>
      </w:r>
    </w:p>
    <w:p w14:paraId="3BF0FE56">
      <w:pPr>
        <w:pStyle w:val="9"/>
        <w:spacing w:line="360" w:lineRule="auto"/>
        <w:ind w:firstLine="480" w:firstLineChars="200"/>
        <w:jc w:val="both"/>
        <w:rPr>
          <w:rFonts w:hint="eastAsia" w:cs="宋体" w:asciiTheme="minorEastAsia" w:hAnsiTheme="minorEastAsia"/>
          <w:sz w:val="24"/>
          <w:szCs w:val="24"/>
          <w:highlight w:val="none"/>
        </w:rPr>
      </w:pPr>
      <w:r>
        <w:rPr>
          <w:rFonts w:hint="eastAsia" w:cs="宋体" w:asciiTheme="minorEastAsia" w:hAnsiTheme="minorEastAsia"/>
          <w:sz w:val="24"/>
          <w:szCs w:val="24"/>
          <w:highlight w:val="none"/>
        </w:rPr>
        <w:t>5.甲乙双方应遵守合同并执行合同中的各项规定，保证合同的正常履行。</w:t>
      </w:r>
    </w:p>
    <w:p w14:paraId="48DC2B32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cs="宋体" w:asciiTheme="minorEastAsia" w:hAnsiTheme="minorEastAsia"/>
          <w:sz w:val="24"/>
          <w:szCs w:val="24"/>
          <w:highlight w:val="none"/>
        </w:rPr>
        <w:t>6.如碰到不可抗力因素造成无法按照原计划提供服务的，由甲乙双方协商解决。</w:t>
      </w:r>
    </w:p>
    <w:p w14:paraId="01DBB0FF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保密条款</w:t>
      </w:r>
    </w:p>
    <w:p w14:paraId="3C82624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1.在本合同的履行期内，乙方获得与本项目相关的信息（包括获得的资料及成果等），应当采取适当有效的方式保护，不得未经授权使用、传播或公开。</w:t>
      </w:r>
    </w:p>
    <w:p w14:paraId="6A952D5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2.乙方在项目实施过程中接触或产生涉密数据的，应严格按《中华人民共和国保守国家秘密法》以及其他相关法律法规和制度执行。如由于乙方的原因而导致泄密的，乙方应承担相应法律责任。</w:t>
      </w:r>
    </w:p>
    <w:p w14:paraId="5960C3F0">
      <w:pPr>
        <w:pStyle w:val="5"/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政府采购合同履行</w:t>
      </w:r>
    </w:p>
    <w:p w14:paraId="0A92C9F9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bidi="ar"/>
        </w:rPr>
        <w:t>政府采购合同履行中，甲方需追加与合同标的相同服务的，在不改变合同其他条款的前提下，可以与乙方协商签订补充合同，但所有补充合同的采购金额不得超过原合同采购金额的百分之十。</w:t>
      </w:r>
    </w:p>
    <w:p w14:paraId="595205C5">
      <w:pPr>
        <w:keepNext w:val="0"/>
        <w:keepLines w:val="0"/>
        <w:pageBreakBefore w:val="0"/>
        <w:shd w:val="clear"/>
        <w:tabs>
          <w:tab w:val="left" w:pos="4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bidi="ar"/>
        </w:rPr>
        <w:t>十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 w:bidi="ar"/>
        </w:rPr>
        <w:t>一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bidi="ar"/>
        </w:rPr>
        <w:t>、合同争议的解决</w:t>
      </w:r>
    </w:p>
    <w:p w14:paraId="257597B8">
      <w:pPr>
        <w:keepNext w:val="0"/>
        <w:keepLines w:val="0"/>
        <w:pageBreakBefore w:val="0"/>
        <w:shd w:val="clear"/>
        <w:tabs>
          <w:tab w:val="left" w:pos="498"/>
        </w:tabs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甲、乙双方应本着友好合作、积极协商的态度，严格履行本协议，因不可预见的因素或本协议未尽事宜发生争议，由双方协商解决,协商不成时，甲、乙双方同意向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甲方所在地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人民法院提起诉讼。</w:t>
      </w:r>
    </w:p>
    <w:p w14:paraId="573EFBFA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bidi="ar"/>
        </w:rPr>
        <w:t>十</w:t>
      </w:r>
      <w:r>
        <w:rPr>
          <w:rFonts w:hint="eastAsia" w:cs="宋体"/>
          <w:b/>
          <w:color w:val="auto"/>
          <w:sz w:val="24"/>
          <w:szCs w:val="24"/>
          <w:highlight w:val="none"/>
          <w:lang w:val="en-US" w:eastAsia="zh-CN" w:bidi="ar"/>
        </w:rPr>
        <w:t>二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bidi="ar"/>
        </w:rPr>
        <w:t>、其他</w:t>
      </w:r>
    </w:p>
    <w:p w14:paraId="4187B062">
      <w:pPr>
        <w:keepNext w:val="0"/>
        <w:keepLines w:val="0"/>
        <w:pageBreakBefore w:val="0"/>
        <w:shd w:val="clear"/>
        <w:tabs>
          <w:tab w:val="left" w:pos="498"/>
        </w:tabs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t>1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t>不可抗力情况下的免责约定，双方约定不可抗力情况包括：五级以上地震、大风、大雨、大雪。</w:t>
      </w:r>
    </w:p>
    <w:p w14:paraId="7B7426F9">
      <w:pPr>
        <w:keepNext w:val="0"/>
        <w:keepLines w:val="0"/>
        <w:pageBreakBefore w:val="0"/>
        <w:shd w:val="clear"/>
        <w:tabs>
          <w:tab w:val="left" w:pos="498"/>
        </w:tabs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t>2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t>除本合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同约定，合同一经签订，不得擅自变更、中止或者终止合同。对确需变更、调整或者中止、终止合同的，应按规定履行相应的手续。</w:t>
      </w:r>
    </w:p>
    <w:p w14:paraId="343CDA29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bidi="ar"/>
        </w:rPr>
        <w:t>十</w:t>
      </w:r>
      <w:r>
        <w:rPr>
          <w:rFonts w:hint="eastAsia" w:cs="宋体"/>
          <w:b/>
          <w:color w:val="auto"/>
          <w:sz w:val="24"/>
          <w:szCs w:val="24"/>
          <w:highlight w:val="none"/>
          <w:lang w:val="en-US" w:eastAsia="zh-CN" w:bidi="ar"/>
        </w:rPr>
        <w:t>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bidi="ar"/>
        </w:rPr>
        <w:t>、合同订立</w:t>
      </w:r>
    </w:p>
    <w:p w14:paraId="2B23830B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1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订立时间：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日。</w:t>
      </w:r>
    </w:p>
    <w:p w14:paraId="3313ADC4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2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订立地点：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。</w:t>
      </w:r>
    </w:p>
    <w:p w14:paraId="7BFCA97F">
      <w:pPr>
        <w:keepNext w:val="0"/>
        <w:keepLines w:val="0"/>
        <w:pageBreakBefore w:val="0"/>
        <w:shd w:val="clear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3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本合同自双方签字、盖章之日起生效。合同文本一式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份，甲、乙双方各执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份，具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同等法律效力。</w:t>
      </w:r>
    </w:p>
    <w:p w14:paraId="63970AEA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br w:type="page"/>
      </w:r>
    </w:p>
    <w:p w14:paraId="53D5C246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</w:pPr>
    </w:p>
    <w:p w14:paraId="73369AFC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（以下无正文）</w:t>
      </w:r>
    </w:p>
    <w:p w14:paraId="6199C6CF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 w:bidi="ar"/>
        </w:rPr>
        <w:t>甲  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（盖章）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 xml:space="preserve">      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 w:bidi="ar"/>
        </w:rPr>
        <w:t xml:space="preserve"> 乙  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（盖章）          </w:t>
      </w:r>
    </w:p>
    <w:p w14:paraId="35D302FA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地  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 xml:space="preserve">       地  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  </w:t>
      </w:r>
    </w:p>
    <w:p w14:paraId="565D7D77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 xml:space="preserve">        邮政编码：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</w:p>
    <w:p w14:paraId="301CEB84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法定代表人或其授权                 法定代表人或其授权</w:t>
      </w:r>
    </w:p>
    <w:p w14:paraId="5B21D9F4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的代理人：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（签字）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 xml:space="preserve">        的代理人：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（签字）           </w:t>
      </w:r>
    </w:p>
    <w:p w14:paraId="67A3DC88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开户银行：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 xml:space="preserve">        开户银行：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</w:p>
    <w:p w14:paraId="62A14247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账号：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 xml:space="preserve">       账号：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    </w:t>
      </w:r>
    </w:p>
    <w:p w14:paraId="6F0A8F47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 xml:space="preserve">       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    </w:t>
      </w:r>
    </w:p>
    <w:p w14:paraId="2C0406F7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传真：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 xml:space="preserve">       传真：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    </w:t>
      </w:r>
    </w:p>
    <w:p w14:paraId="1D573F4D">
      <w:pPr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sectPr>
          <w:footerReference r:id="rId5" w:type="default"/>
          <w:pgSz w:w="11906" w:h="16838"/>
          <w:pgMar w:top="1418" w:right="1134" w:bottom="1418" w:left="1418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电子邮箱：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 xml:space="preserve">      电子邮箱：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</w:p>
    <w:p w14:paraId="54FB0F52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附件：</w:t>
      </w:r>
    </w:p>
    <w:tbl>
      <w:tblPr>
        <w:tblStyle w:val="7"/>
        <w:tblW w:w="485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2621"/>
        <w:gridCol w:w="1660"/>
        <w:gridCol w:w="1639"/>
        <w:gridCol w:w="2374"/>
        <w:gridCol w:w="1928"/>
        <w:gridCol w:w="2545"/>
      </w:tblGrid>
      <w:tr w14:paraId="473AC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atLeast"/>
          <w:jc w:val="center"/>
        </w:trPr>
        <w:tc>
          <w:tcPr>
            <w:tcW w:w="363" w:type="pct"/>
            <w:vAlign w:val="center"/>
          </w:tcPr>
          <w:p w14:paraId="4F25A733">
            <w:pPr>
              <w:pStyle w:val="6"/>
              <w:spacing w:line="460" w:lineRule="exact"/>
              <w:jc w:val="center"/>
              <w:rPr>
                <w:rFonts w:hint="eastAsia" w:hAnsi="宋体"/>
                <w:color w:val="auto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-2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52" w:type="pct"/>
            <w:vAlign w:val="center"/>
          </w:tcPr>
          <w:p w14:paraId="470AD162">
            <w:pPr>
              <w:pStyle w:val="6"/>
              <w:spacing w:line="460" w:lineRule="exact"/>
              <w:jc w:val="center"/>
              <w:rPr>
                <w:rFonts w:hint="default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  <w:lang w:eastAsia="zh-CN"/>
              </w:rPr>
              <w:t>服务内容</w:t>
            </w:r>
          </w:p>
        </w:tc>
        <w:tc>
          <w:tcPr>
            <w:tcW w:w="603" w:type="pct"/>
            <w:vAlign w:val="center"/>
          </w:tcPr>
          <w:p w14:paraId="1DD7220B">
            <w:pPr>
              <w:pStyle w:val="6"/>
              <w:spacing w:line="460" w:lineRule="exact"/>
              <w:jc w:val="center"/>
              <w:rPr>
                <w:rFonts w:hint="default" w:hAnsi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595" w:type="pct"/>
            <w:vAlign w:val="center"/>
          </w:tcPr>
          <w:p w14:paraId="77B3466B">
            <w:pPr>
              <w:pStyle w:val="6"/>
              <w:spacing w:line="460" w:lineRule="exact"/>
              <w:jc w:val="center"/>
              <w:rPr>
                <w:rFonts w:hint="default" w:hAnsi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862" w:type="pct"/>
            <w:vAlign w:val="center"/>
          </w:tcPr>
          <w:p w14:paraId="763E1AD6">
            <w:pPr>
              <w:pStyle w:val="6"/>
              <w:spacing w:line="460" w:lineRule="exact"/>
              <w:jc w:val="center"/>
              <w:rPr>
                <w:rFonts w:hint="eastAsia" w:hAnsi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700" w:type="pct"/>
            <w:vAlign w:val="center"/>
          </w:tcPr>
          <w:p w14:paraId="64A71F1B">
            <w:pPr>
              <w:pStyle w:val="6"/>
              <w:spacing w:line="460" w:lineRule="exact"/>
              <w:jc w:val="center"/>
              <w:rPr>
                <w:rFonts w:hint="eastAsia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(元)</w:t>
            </w:r>
          </w:p>
        </w:tc>
        <w:tc>
          <w:tcPr>
            <w:tcW w:w="923" w:type="pct"/>
            <w:vAlign w:val="center"/>
          </w:tcPr>
          <w:p w14:paraId="30BD7D87">
            <w:pPr>
              <w:pStyle w:val="6"/>
              <w:spacing w:line="460" w:lineRule="exact"/>
              <w:jc w:val="center"/>
              <w:rPr>
                <w:rFonts w:hint="eastAsia" w:hAnsi="宋体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21D7B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363" w:type="pct"/>
            <w:vAlign w:val="center"/>
          </w:tcPr>
          <w:p w14:paraId="64611D1D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952" w:type="pct"/>
            <w:vAlign w:val="center"/>
          </w:tcPr>
          <w:p w14:paraId="022B7230">
            <w:pPr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专属定制服务</w:t>
            </w:r>
          </w:p>
        </w:tc>
        <w:tc>
          <w:tcPr>
            <w:tcW w:w="603" w:type="pct"/>
            <w:vAlign w:val="center"/>
          </w:tcPr>
          <w:p w14:paraId="0FC95170">
            <w:pPr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595" w:type="pct"/>
            <w:vAlign w:val="center"/>
          </w:tcPr>
          <w:p w14:paraId="44247C99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人</w:t>
            </w:r>
          </w:p>
        </w:tc>
        <w:tc>
          <w:tcPr>
            <w:tcW w:w="862" w:type="pct"/>
            <w:vAlign w:val="center"/>
          </w:tcPr>
          <w:p w14:paraId="7AED0519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0" w:type="pct"/>
            <w:vAlign w:val="center"/>
          </w:tcPr>
          <w:p w14:paraId="6DB4C7D6">
            <w:pPr>
              <w:pStyle w:val="6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923" w:type="pct"/>
            <w:vAlign w:val="center"/>
          </w:tcPr>
          <w:p w14:paraId="1D6FB7B0">
            <w:pPr>
              <w:pStyle w:val="6"/>
              <w:jc w:val="center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  <w:t>至少包含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  <w:t>原创采编、活动策划、摄影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  <w:t>/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  <w:t>摄像、视频剪辑及新媒体运营</w:t>
            </w:r>
          </w:p>
        </w:tc>
      </w:tr>
      <w:tr w14:paraId="7AF7D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363" w:type="pct"/>
            <w:vAlign w:val="center"/>
          </w:tcPr>
          <w:p w14:paraId="09309A56">
            <w:pPr>
              <w:jc w:val="center"/>
              <w:rPr>
                <w:rFonts w:hint="eastAsia" w:ascii="宋体" w:hAnsi="宋体" w:eastAsia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952" w:type="pct"/>
            <w:vAlign w:val="center"/>
          </w:tcPr>
          <w:p w14:paraId="65DAD9D1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年度主题宣传策划</w:t>
            </w:r>
          </w:p>
        </w:tc>
        <w:tc>
          <w:tcPr>
            <w:tcW w:w="603" w:type="pct"/>
            <w:vAlign w:val="center"/>
          </w:tcPr>
          <w:p w14:paraId="11BCDD47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</w:rPr>
              <w:t>2</w:t>
            </w:r>
          </w:p>
        </w:tc>
        <w:tc>
          <w:tcPr>
            <w:tcW w:w="595" w:type="pct"/>
            <w:vAlign w:val="center"/>
          </w:tcPr>
          <w:p w14:paraId="116E5CA9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个</w:t>
            </w:r>
          </w:p>
        </w:tc>
        <w:tc>
          <w:tcPr>
            <w:tcW w:w="862" w:type="pct"/>
            <w:vAlign w:val="center"/>
          </w:tcPr>
          <w:p w14:paraId="5753C51F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0" w:type="pct"/>
            <w:vAlign w:val="center"/>
          </w:tcPr>
          <w:p w14:paraId="561F0876">
            <w:pPr>
              <w:pStyle w:val="6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923" w:type="pct"/>
            <w:vAlign w:val="center"/>
          </w:tcPr>
          <w:p w14:paraId="7C60D7C3">
            <w:pPr>
              <w:pStyle w:val="6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584BF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363" w:type="pct"/>
            <w:vAlign w:val="center"/>
          </w:tcPr>
          <w:p w14:paraId="1FE92022">
            <w:pPr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952" w:type="pct"/>
            <w:vAlign w:val="center"/>
          </w:tcPr>
          <w:p w14:paraId="6A92D053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每周、每月组织选题策划会</w:t>
            </w:r>
          </w:p>
        </w:tc>
        <w:tc>
          <w:tcPr>
            <w:tcW w:w="603" w:type="pct"/>
            <w:vAlign w:val="center"/>
          </w:tcPr>
          <w:p w14:paraId="58397316">
            <w:pPr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595" w:type="pct"/>
            <w:vAlign w:val="center"/>
          </w:tcPr>
          <w:p w14:paraId="4C516052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项</w:t>
            </w:r>
          </w:p>
        </w:tc>
        <w:tc>
          <w:tcPr>
            <w:tcW w:w="862" w:type="pct"/>
            <w:vAlign w:val="center"/>
          </w:tcPr>
          <w:p w14:paraId="55FF35E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0" w:type="pct"/>
            <w:vAlign w:val="center"/>
          </w:tcPr>
          <w:p w14:paraId="5EB11840">
            <w:pPr>
              <w:pStyle w:val="6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923" w:type="pct"/>
            <w:vAlign w:val="center"/>
          </w:tcPr>
          <w:p w14:paraId="76623F2C">
            <w:pPr>
              <w:pStyle w:val="6"/>
              <w:jc w:val="center"/>
              <w:rPr>
                <w:rFonts w:hint="default" w:hAnsi="宋体" w:eastAsia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DF3B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363" w:type="pct"/>
            <w:vAlign w:val="center"/>
          </w:tcPr>
          <w:p w14:paraId="387A3446">
            <w:pPr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952" w:type="pct"/>
            <w:vAlign w:val="center"/>
          </w:tcPr>
          <w:p w14:paraId="6D11F3A9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原创稿件</w:t>
            </w:r>
          </w:p>
        </w:tc>
        <w:tc>
          <w:tcPr>
            <w:tcW w:w="603" w:type="pct"/>
            <w:vAlign w:val="center"/>
          </w:tcPr>
          <w:p w14:paraId="0E4A999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200</w:t>
            </w:r>
          </w:p>
        </w:tc>
        <w:tc>
          <w:tcPr>
            <w:tcW w:w="595" w:type="pct"/>
            <w:vAlign w:val="center"/>
          </w:tcPr>
          <w:p w14:paraId="0454B286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篇</w:t>
            </w:r>
          </w:p>
        </w:tc>
        <w:tc>
          <w:tcPr>
            <w:tcW w:w="862" w:type="pct"/>
            <w:vAlign w:val="center"/>
          </w:tcPr>
          <w:p w14:paraId="1F38CC33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0" w:type="pct"/>
            <w:vAlign w:val="center"/>
          </w:tcPr>
          <w:p w14:paraId="773B57A0">
            <w:pPr>
              <w:pStyle w:val="6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923" w:type="pct"/>
            <w:vAlign w:val="center"/>
          </w:tcPr>
          <w:p w14:paraId="6206B18F">
            <w:pPr>
              <w:pStyle w:val="6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12A7F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363" w:type="pct"/>
            <w:vAlign w:val="center"/>
          </w:tcPr>
          <w:p w14:paraId="78C3B48E">
            <w:pPr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952" w:type="pct"/>
            <w:vAlign w:val="center"/>
          </w:tcPr>
          <w:p w14:paraId="5A380CB3">
            <w:pPr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视频</w:t>
            </w: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拍摄</w:t>
            </w:r>
          </w:p>
        </w:tc>
        <w:tc>
          <w:tcPr>
            <w:tcW w:w="603" w:type="pct"/>
            <w:vAlign w:val="center"/>
          </w:tcPr>
          <w:p w14:paraId="1E56ADF5">
            <w:pPr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595" w:type="pct"/>
            <w:vAlign w:val="center"/>
          </w:tcPr>
          <w:p w14:paraId="1877F929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项</w:t>
            </w:r>
          </w:p>
        </w:tc>
        <w:tc>
          <w:tcPr>
            <w:tcW w:w="862" w:type="pct"/>
            <w:vAlign w:val="center"/>
          </w:tcPr>
          <w:p w14:paraId="0C6F525D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0" w:type="pct"/>
            <w:vAlign w:val="center"/>
          </w:tcPr>
          <w:p w14:paraId="0C20ED83">
            <w:pPr>
              <w:pStyle w:val="6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923" w:type="pct"/>
            <w:vAlign w:val="center"/>
          </w:tcPr>
          <w:p w14:paraId="65F94AE9">
            <w:pPr>
              <w:pStyle w:val="6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累计10分钟</w:t>
            </w:r>
          </w:p>
          <w:p w14:paraId="380F8A87">
            <w:pPr>
              <w:pStyle w:val="6"/>
              <w:jc w:val="center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（总时长）</w:t>
            </w:r>
          </w:p>
        </w:tc>
      </w:tr>
      <w:tr w14:paraId="28297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363" w:type="pct"/>
            <w:vAlign w:val="center"/>
          </w:tcPr>
          <w:p w14:paraId="673B10B4">
            <w:pPr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952" w:type="pct"/>
            <w:vAlign w:val="center"/>
          </w:tcPr>
          <w:p w14:paraId="7A60E0B4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图片拍摄</w:t>
            </w:r>
          </w:p>
        </w:tc>
        <w:tc>
          <w:tcPr>
            <w:tcW w:w="603" w:type="pct"/>
            <w:vAlign w:val="center"/>
          </w:tcPr>
          <w:p w14:paraId="295D8F6E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595" w:type="pct"/>
            <w:vAlign w:val="center"/>
          </w:tcPr>
          <w:p w14:paraId="1AE0AA69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项</w:t>
            </w:r>
          </w:p>
        </w:tc>
        <w:tc>
          <w:tcPr>
            <w:tcW w:w="862" w:type="pct"/>
            <w:vAlign w:val="center"/>
          </w:tcPr>
          <w:p w14:paraId="5520E558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0" w:type="pct"/>
            <w:vAlign w:val="center"/>
          </w:tcPr>
          <w:p w14:paraId="0FD0B62A">
            <w:pPr>
              <w:pStyle w:val="6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923" w:type="pct"/>
            <w:vAlign w:val="center"/>
          </w:tcPr>
          <w:p w14:paraId="5CCE57A0">
            <w:pPr>
              <w:pStyle w:val="6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至少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20次活动或会议</w:t>
            </w:r>
          </w:p>
        </w:tc>
      </w:tr>
      <w:tr w14:paraId="3AD41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363" w:type="pct"/>
            <w:vAlign w:val="center"/>
          </w:tcPr>
          <w:p w14:paraId="15A8E1D4">
            <w:pPr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7</w:t>
            </w:r>
          </w:p>
        </w:tc>
        <w:tc>
          <w:tcPr>
            <w:tcW w:w="952" w:type="pct"/>
            <w:vAlign w:val="center"/>
          </w:tcPr>
          <w:p w14:paraId="78BA39A8">
            <w:pPr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highlight w:val="none"/>
                <w:lang w:val="en-US" w:eastAsia="zh-CN" w:bidi="ar-SA"/>
              </w:rPr>
              <w:t>《西安日报》《西安晚报》《西安发布App》《西安新闻网》《前方+App》及市级融合媒体平台公众号的发稿服务</w:t>
            </w:r>
          </w:p>
        </w:tc>
        <w:tc>
          <w:tcPr>
            <w:tcW w:w="603" w:type="pct"/>
            <w:vAlign w:val="center"/>
          </w:tcPr>
          <w:p w14:paraId="15A947DD">
            <w:pPr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595" w:type="pct"/>
            <w:vAlign w:val="center"/>
          </w:tcPr>
          <w:p w14:paraId="67719123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项</w:t>
            </w:r>
          </w:p>
        </w:tc>
        <w:tc>
          <w:tcPr>
            <w:tcW w:w="862" w:type="pct"/>
            <w:vAlign w:val="center"/>
          </w:tcPr>
          <w:p w14:paraId="383496E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0" w:type="pct"/>
            <w:vAlign w:val="center"/>
          </w:tcPr>
          <w:p w14:paraId="180A7109">
            <w:pPr>
              <w:pStyle w:val="6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923" w:type="pct"/>
            <w:vAlign w:val="center"/>
          </w:tcPr>
          <w:p w14:paraId="483C98FD">
            <w:pPr>
              <w:pStyle w:val="6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443D2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363" w:type="pct"/>
            <w:vAlign w:val="center"/>
          </w:tcPr>
          <w:p w14:paraId="4832612A">
            <w:pPr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952" w:type="pct"/>
            <w:vAlign w:val="center"/>
          </w:tcPr>
          <w:p w14:paraId="6A29530A">
            <w:pPr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信息服务</w:t>
            </w:r>
          </w:p>
        </w:tc>
        <w:tc>
          <w:tcPr>
            <w:tcW w:w="603" w:type="pct"/>
            <w:vAlign w:val="center"/>
          </w:tcPr>
          <w:p w14:paraId="5CA60986">
            <w:pPr>
              <w:jc w:val="center"/>
              <w:rPr>
                <w:rFonts w:hint="default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595" w:type="pct"/>
            <w:vAlign w:val="center"/>
          </w:tcPr>
          <w:p w14:paraId="3B1664FC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项</w:t>
            </w:r>
          </w:p>
        </w:tc>
        <w:tc>
          <w:tcPr>
            <w:tcW w:w="862" w:type="pct"/>
            <w:vAlign w:val="center"/>
          </w:tcPr>
          <w:p w14:paraId="75E22362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0" w:type="pct"/>
            <w:vAlign w:val="center"/>
          </w:tcPr>
          <w:p w14:paraId="7CFC5CA2">
            <w:pPr>
              <w:pStyle w:val="6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923" w:type="pct"/>
            <w:vAlign w:val="center"/>
          </w:tcPr>
          <w:p w14:paraId="499B0CB3">
            <w:pPr>
              <w:pStyle w:val="6"/>
              <w:jc w:val="center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35518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363" w:type="pct"/>
            <w:vAlign w:val="center"/>
          </w:tcPr>
          <w:p w14:paraId="7287A96E">
            <w:pPr>
              <w:jc w:val="center"/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952" w:type="pct"/>
            <w:vAlign w:val="center"/>
          </w:tcPr>
          <w:p w14:paraId="077E9C4B">
            <w:pPr>
              <w:jc w:val="center"/>
              <w:rPr>
                <w:rFonts w:hint="default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.....</w:t>
            </w:r>
          </w:p>
        </w:tc>
        <w:tc>
          <w:tcPr>
            <w:tcW w:w="603" w:type="pct"/>
            <w:vAlign w:val="center"/>
          </w:tcPr>
          <w:p w14:paraId="2E54B33F">
            <w:pPr>
              <w:jc w:val="center"/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595" w:type="pct"/>
            <w:vAlign w:val="center"/>
          </w:tcPr>
          <w:p w14:paraId="1C3840E2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62" w:type="pct"/>
            <w:vAlign w:val="center"/>
          </w:tcPr>
          <w:p w14:paraId="359D8926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0" w:type="pct"/>
            <w:vAlign w:val="center"/>
          </w:tcPr>
          <w:p w14:paraId="645D3D0F">
            <w:pPr>
              <w:pStyle w:val="6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923" w:type="pct"/>
            <w:vAlign w:val="center"/>
          </w:tcPr>
          <w:p w14:paraId="2F6285D2">
            <w:pPr>
              <w:pStyle w:val="6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6E7F0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1315" w:type="pct"/>
            <w:gridSpan w:val="2"/>
            <w:vAlign w:val="center"/>
          </w:tcPr>
          <w:p w14:paraId="1CB874AE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响应报价（元）</w:t>
            </w:r>
          </w:p>
        </w:tc>
        <w:tc>
          <w:tcPr>
            <w:tcW w:w="3684" w:type="pct"/>
            <w:gridSpan w:val="5"/>
            <w:vAlign w:val="center"/>
          </w:tcPr>
          <w:p w14:paraId="289F9210">
            <w:pPr>
              <w:pStyle w:val="6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  <w:t>大写：         ；小写：       元</w:t>
            </w:r>
          </w:p>
        </w:tc>
      </w:tr>
    </w:tbl>
    <w:p w14:paraId="2CFFC95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2555D9">
    <w:pPr>
      <w:pStyle w:val="5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87120"/>
    <w:rsid w:val="33C8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4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Body Text"/>
    <w:basedOn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Plain Text"/>
    <w:basedOn w:val="1"/>
    <w:next w:val="1"/>
    <w:qFormat/>
    <w:uiPriority w:val="0"/>
    <w:rPr>
      <w:rFonts w:ascii="宋体"/>
      <w:szCs w:val="20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2026-09-01T03:31:00Z</dcterms:created>
  <dc:creator>苍白假面</dc:creator>
  <cp:lastModifiedBy>苍白假面</cp:lastModifiedBy>
  <dcterms:modified xsi:type="dcterms:W3CDTF">2026-09-01T03:32:23Z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42838C6903664F7684D4C2E4D4CE15A6_11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