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A18D67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一、招标项目简介：</w:t>
      </w:r>
    </w:p>
    <w:p w14:paraId="3CBA9BA7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有机质微区结构、矿物 - 原油界面赋存特征、孔喉尺度吸附解吸规律，是剖析非常规油气滞留机理、储层微观非均质性、化学驱界面作用、沥青质微孔沉积堵塞机制，优化储层改造、提高采收率、油气产能精准评价的核心基础表征手段，是构建油气流体微尺度精细表征体系不可或缺的关键技术装备。近年来国内常规油气产能持续下降，页岩油气、致密油气、深层超深层油气、高黏稠油、重质沥青质油气成为增储上产主力资源。该类油气储层孔隙结构复杂、孔喉尺度微小，原油与岩石矿物紧密耦合，有机质呈微米级分散赋存状态，同时存在微孔吸附、界面相分离、胶质沥青质微孔沉积、化学药剂界面反应等微观特征。仅依靠常规宏观红外整体检测，只能获取样品平均组分信息，无法区分岩石基质、干酪根、原油、黏土矿物、驱油化学剂各自微区官能团差异，难以厘清孔隙尺度油气赋存、界面相互作用、局部沥青质析出堵塞等微观机理，严重制约非常规油气富集规律、储层微观伤害、化学驱增效机理、页岩有机质微区生烃演化等深层次科研攻关。因此搭建红外光谱与红外显微镜一体化联用精细表征平台，完善油气微尺度原位分析体系，具备极强的科研必要性与紧迫性。</w:t>
      </w:r>
    </w:p>
    <w:p w14:paraId="5DF235CD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我校现有单体红外光谱设备服役年限较长，无配套红外显微成像模块，仅能开展块状样品整体光谱检测，在非常规油气微区精细表征方面存在显著短板，难以适配当前油气地质与开发科研测试需求。一是微区原位表征能力缺失，现有设备无微米级显微观测与单点光谱采集功能，无法针对岩心薄片、页岩粉末、孔隙薄膜样品实现微米尺度定点分析，不能区分岩石骨架、吸附原油、分散干酪根、黏土矿物各自组分结构，难以直观刻画孔喉内部油气赋存分布特征；二是微尺度动态观测功能不足，无显微原位加热 / 高压样品台拓展接口，无法模拟地层温压环境下，微米孔隙内原油裂解、沥青质局部析出、驱油药剂界面吸附演变全过程，缺失微观尺度相态演化可视化光谱证据；三是油气地质专项配套不完善，缺少岩心薄片专用显微载台、微量有机质富集检测附件、油气 - 矿物界面特征光谱数据库，针对致密岩心中微量滞留油、页岩微米干酪根、稠油局部沥青质沉积的定性定量识别精度偏低，基质矿物光谱干扰剔除效果差，测试数据精度、重复性无法满足国家级、省部级课题结题及高水平论文发表要求；四是多尺度数据联动性弱，老旧单体红外设备数据接口封闭，无法与校内高温高压 PVT 系统、扫描电镜、孔隙渗透率测试设备数据互通，难以建立 “宏观储层物性 — 细观孔隙结构 — 微观组分官能团” 多尺度耦合分析体系，油气藏微观数值模拟、储层伤害机理、驱油效果定量评价的数据链条断裂，大幅制约我校深层非常规油气勘探、页岩储层流体赋存、稠油微观改性、化学驱界面机理等重点学科科研项目推进，学科硬件支撑短板突出。</w:t>
      </w:r>
    </w:p>
    <w:p w14:paraId="3006D509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综上，为补齐我校油气微尺度精细表征设备短板，打通宏观储层物性、细观孔喉结构、微观组分结构一体化分析链条，满足深层致密岩心、页岩薄片、稠油 - 矿物界面、驱油药剂微孔吸附等微米级原位检测实验需求，支撑非常规油气有机质微区热演化、孔喉流体吸附解吸、极端温压下局部相变、化学驱界面作用、储层微观伤害等常态化科研实验，赋能油气工程、地质资源与地质工程优势重点学科高质量建设，亟需淘汰现有老旧单体红外设备，购置红外光谱 - 红外显微镜一体化联用系统，搭建油气全尺度、微原位、可视化精细实验检测平台，全面支撑学校非常规油气领域科研创新、纵向科研项目申报与油气行业产学研联合攻关工作。</w:t>
      </w:r>
    </w:p>
    <w:p w14:paraId="523110D3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二、采购项目概况:</w:t>
      </w:r>
    </w:p>
    <w:p w14:paraId="3F5F5C7F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1、采购目的</w:t>
      </w:r>
    </w:p>
    <w:p w14:paraId="486C58EA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适配非常规油气前沿科研测试需求，破解现有测试技术瓶颈。针对页岩油气、致密油气、深层超深层油气、高黏度稠油、含沥青质重质油气储层孔喉微小、有机质分散、油气矿物耦合紧密、局部沥青质析出、药剂界面反应差异化显著等特征，依托红外显微微米级定点测试、分区成像功能，精准区分岩石骨架、吸附原油、分散干酪根、黏土矿物、驱油化学剂组分差异，厘清孔喉尺度油气赋存、界面吸附、局部相变、微孔堵塞内在机理，解决常规红外检测无法甄别微区组分、局部反应机理不明的行业测试难题。更新换代老旧实验设备，提升平台规范化测试能力。淘汰模块化程度低、抗干扰能力弱、数据兼容性差、无显微拓展功能的老旧红外单体设备，依托全新联用系统专属油气谱库、抗矿物干扰算法、密闭微量进样、原位显微观测配套功能，提升微量滞留油、微米干酪根、界面胶质沥青质定性定量精度，保障实验数据稳定性、重复性、权威性，规范学院大型仪器共享测试管理，满足教学科研、对外检测共享使用需求。</w:t>
      </w:r>
    </w:p>
    <w:p w14:paraId="7F9BEE9B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2、装置功能</w:t>
      </w:r>
    </w:p>
    <w:p w14:paraId="1C1DBC34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1.微米级微区定点红外光谱检测功能</w:t>
      </w:r>
    </w:p>
    <w:p w14:paraId="3BC9CF2A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具备显微光路聚焦系统，可实现 10μm 以下微区精准定位采集光谱，针对岩心薄片、页岩粉末、矿物断面、薄膜样品任意微小点位单独测试；可分别获取岩石基质、黏土矿物、分散干酪根、微孔吸附原油、局部析出沥青质、附着化学驱药剂的独立红外谱图，区分样品不同区域组分官能团差异，解决普通红外仅能测整体平均组分、无法分辨微观非均质特征的问题。</w:t>
      </w:r>
    </w:p>
    <w:p w14:paraId="481D418B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2.红外光谱成像可视化分布表征功能</w:t>
      </w:r>
    </w:p>
    <w:p w14:paraId="25684FAF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支持二维化学成像扫描，对薄片全域逐点采集光谱后生成官能团分布云图，直观展示有机质、原油、胶质、沥青质、化学药剂在岩石孔喉、矿物界面的空间赋存形态，定量刻画油气富集区域、沥青质沉积堵塞区域、药剂吸附区域的分布范围与相对含量，实现油气微观赋存状态可视化分析。</w:t>
      </w:r>
    </w:p>
    <w:p w14:paraId="2DC5AC6A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3.微量、微量样品无损检测功能</w:t>
      </w:r>
    </w:p>
    <w:p w14:paraId="13742F0F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适配纳克级微量有机质、薄片微孔滞留油、薄膜界面薄层流体无损伤测试，无需大量制样、不破坏岩心原始孔隙结构；搭配微量密闭样品台，可防止轻质油气组分挥发，精准识别致密岩心中含量极低的滞留烃类组分，适配深层、页岩低丰度有机质样品检测。</w:t>
      </w:r>
    </w:p>
    <w:p w14:paraId="6B3E100A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4.原位温压环境模拟拓展功能</w:t>
      </w:r>
    </w:p>
    <w:p w14:paraId="009DCFAA">
      <w:pPr>
        <w:pStyle w:val="6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可搭载显微原位加热台、高压密闭显微样品池，模拟地下储层高温、常压 / 高压地层环境；实时观测升温升压过程中，微区内原油裂解、干酪根生烃、沥青质局部相分离、驱油药剂界面吸附脱附、流体微观相变全过程，同步采集动态红外光谱，获取极端工况下微观组分演变规律。</w:t>
      </w:r>
    </w:p>
    <w:tbl>
      <w:tblPr>
        <w:tblStyle w:val="4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999"/>
        <w:gridCol w:w="6224"/>
      </w:tblGrid>
      <w:tr w14:paraId="1716B3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02293E2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参数性质</w:t>
            </w:r>
          </w:p>
        </w:tc>
        <w:tc>
          <w:tcPr>
            <w:tcW w:w="999" w:type="dxa"/>
            <w:vAlign w:val="center"/>
          </w:tcPr>
          <w:p w14:paraId="0342A07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6224" w:type="dxa"/>
          </w:tcPr>
          <w:p w14:paraId="2E12821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技术参数与性能指标</w:t>
            </w:r>
          </w:p>
        </w:tc>
      </w:tr>
      <w:tr w14:paraId="08E391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5CDEE89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6E8DA28C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6224" w:type="dxa"/>
          </w:tcPr>
          <w:p w14:paraId="4AA1CFD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红外主机与显微系统一体化设计，红外显微镜主机内置光源、干涉仪、检测器于同一光学平台。主机配备有镀金光学系统。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需提供佐证材料。</w:t>
            </w:r>
          </w:p>
        </w:tc>
      </w:tr>
      <w:tr w14:paraId="04C78E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1D6360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087E1D2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6224" w:type="dxa"/>
          </w:tcPr>
          <w:p w14:paraId="693080BC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干涉仪：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采用高速动态准直电磁式平面镜干涉仪，非角镜或空气轴承，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自动准直频率≥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100,000 次/秒。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需提供佐证材料。</w:t>
            </w:r>
          </w:p>
        </w:tc>
      </w:tr>
      <w:tr w14:paraId="52A83F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76C20F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0DD01A9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6224" w:type="dxa"/>
          </w:tcPr>
          <w:p w14:paraId="0397DA2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样品台：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≥ 50 mm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125 mm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马达驱动样品台。</w:t>
            </w:r>
          </w:p>
        </w:tc>
      </w:tr>
      <w:tr w14:paraId="67CC67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1B8F04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8A191E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6224" w:type="dxa"/>
          </w:tcPr>
          <w:p w14:paraId="49669E7C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显微镜光谱范围：8000-350cm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</w:rPr>
              <w:t>-1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（DTGS检测器），7800-600cm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</w:rPr>
              <w:t>-1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（MCT单点检测器）。</w:t>
            </w:r>
          </w:p>
        </w:tc>
      </w:tr>
      <w:tr w14:paraId="2C6173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279D18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0AFD54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6224" w:type="dxa"/>
          </w:tcPr>
          <w:p w14:paraId="0496E87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光谱分辨率：≤ 0.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4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cm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</w:rPr>
              <w:t>-1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红外显微镜信噪比：P-P值≥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35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000:1（MCT单点检测器，4cm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  <w:lang w:eastAsia="zh-Hans"/>
              </w:rPr>
              <w:t>-1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光谱分辨率，2分钟采集）。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需提供佐证材料。</w:t>
            </w:r>
          </w:p>
        </w:tc>
      </w:tr>
      <w:tr w14:paraId="08FD51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319F88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036B42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6224" w:type="dxa"/>
          </w:tcPr>
          <w:p w14:paraId="5DAB202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空间分辨率：透射和反射模式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10 μm，锗晶体ATR模式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 μm。</w:t>
            </w:r>
          </w:p>
        </w:tc>
      </w:tr>
      <w:tr w14:paraId="3A63AB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5233A8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yellow"/>
              </w:rPr>
            </w:pPr>
          </w:p>
        </w:tc>
        <w:tc>
          <w:tcPr>
            <w:tcW w:w="999" w:type="dxa"/>
            <w:vAlign w:val="center"/>
          </w:tcPr>
          <w:p w14:paraId="22CA713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6224" w:type="dxa"/>
          </w:tcPr>
          <w:p w14:paraId="4B66669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显微红外光谱仪检测器：显微红外光谱仪内置DTGS检测器和MCT单点检测器，DTGS检测器为室温DTGS检测器，50 μm以下样品适用的液氮制冷单点MCT检测器，两个检测器由计算机控制自动切换。采用24位500KHz高精度、高速数据采集A/D转换。显微红外光谱仪可同时内置三种显微镜检测器。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需提供佐证材料。</w:t>
            </w:r>
          </w:p>
        </w:tc>
      </w:tr>
      <w:tr w14:paraId="20FC48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1CC115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yellow"/>
              </w:rPr>
            </w:pPr>
          </w:p>
        </w:tc>
        <w:tc>
          <w:tcPr>
            <w:tcW w:w="999" w:type="dxa"/>
            <w:vAlign w:val="center"/>
          </w:tcPr>
          <w:p w14:paraId="366B821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6224" w:type="dxa"/>
          </w:tcPr>
          <w:p w14:paraId="556BBB4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数据采集方式：透射、反射、ATR三种采样模式。</w:t>
            </w:r>
          </w:p>
        </w:tc>
      </w:tr>
      <w:tr w14:paraId="2B46FE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097113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1F73EFD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6224" w:type="dxa"/>
          </w:tcPr>
          <w:p w14:paraId="153848A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光源：标准中红外光源。</w:t>
            </w:r>
          </w:p>
        </w:tc>
      </w:tr>
      <w:tr w14:paraId="14C6F9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5D9900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1ABF94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224" w:type="dxa"/>
          </w:tcPr>
          <w:p w14:paraId="4D8825E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ATR物镜：插入式可拆卸Ge晶体ATR物镜，光通量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40%；带数字压力控制系统和晶体保护系统。</w:t>
            </w:r>
          </w:p>
          <w:p w14:paraId="7B23502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物镜：15倍物镜和15倍聚焦镜，透射物镜和反射物镜物理光学放大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15倍。 N.A.值≥0.6。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需提供佐证材料。</w:t>
            </w:r>
          </w:p>
        </w:tc>
      </w:tr>
      <w:tr w14:paraId="1D40E7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306558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3AFF6EF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6224" w:type="dxa"/>
          </w:tcPr>
          <w:p w14:paraId="7450301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ATR物镜配置全自动、数字化、连续接触压力感应与显示功能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639A80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5DEDD3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07C517C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224" w:type="dxa"/>
          </w:tcPr>
          <w:p w14:paraId="2F2CC55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高分辨图谱库：需配备原厂≥19万张高分辨图谱库，具有谱库检索和建库功能，并提供无机矿物、有机物质数据库和高分子数据库，终身升级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需要提供承诺书。</w:t>
            </w:r>
          </w:p>
        </w:tc>
      </w:tr>
      <w:tr w14:paraId="27A504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393FB0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B56586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224" w:type="dxa"/>
          </w:tcPr>
          <w:p w14:paraId="1A897D9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配置要求</w:t>
            </w:r>
          </w:p>
        </w:tc>
      </w:tr>
      <w:tr w14:paraId="29267D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00A383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1BEC107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.1</w:t>
            </w:r>
          </w:p>
        </w:tc>
        <w:tc>
          <w:tcPr>
            <w:tcW w:w="6224" w:type="dxa"/>
          </w:tcPr>
          <w:p w14:paraId="4A408B2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傅里叶变换显微红外光谱仪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主机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1台</w:t>
            </w:r>
          </w:p>
        </w:tc>
      </w:tr>
      <w:tr w14:paraId="2C062F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44B870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72C425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.2</w:t>
            </w:r>
          </w:p>
        </w:tc>
        <w:tc>
          <w:tcPr>
            <w:tcW w:w="6224" w:type="dxa"/>
          </w:tcPr>
          <w:p w14:paraId="69E908D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 xml:space="preserve">DTGS检测器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         1套</w:t>
            </w:r>
          </w:p>
        </w:tc>
      </w:tr>
      <w:tr w14:paraId="0ECC49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04667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697141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.3</w:t>
            </w:r>
          </w:p>
        </w:tc>
        <w:tc>
          <w:tcPr>
            <w:tcW w:w="6224" w:type="dxa"/>
          </w:tcPr>
          <w:p w14:paraId="38F0F3F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 xml:space="preserve">MCT液氮制冷检测器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1套</w:t>
            </w:r>
          </w:p>
        </w:tc>
      </w:tr>
      <w:tr w14:paraId="2012D1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4E2A07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3D5E8F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.4</w:t>
            </w:r>
          </w:p>
        </w:tc>
        <w:tc>
          <w:tcPr>
            <w:tcW w:w="6224" w:type="dxa"/>
          </w:tcPr>
          <w:p w14:paraId="6FBC263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Ge晶体ATR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物镜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 xml:space="preserve">   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1套</w:t>
            </w:r>
          </w:p>
        </w:tc>
      </w:tr>
      <w:tr w14:paraId="35E0E8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1079" w:type="dxa"/>
          </w:tcPr>
          <w:p w14:paraId="0CF99E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F3766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.5</w:t>
            </w:r>
          </w:p>
        </w:tc>
        <w:tc>
          <w:tcPr>
            <w:tcW w:w="6224" w:type="dxa"/>
          </w:tcPr>
          <w:p w14:paraId="6B5EFB7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 xml:space="preserve">金刚石压池    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 xml:space="preserve"> 1套</w:t>
            </w:r>
          </w:p>
        </w:tc>
      </w:tr>
      <w:tr w14:paraId="483401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1056B1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68DA32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.6</w:t>
            </w:r>
          </w:p>
        </w:tc>
        <w:tc>
          <w:tcPr>
            <w:tcW w:w="6224" w:type="dxa"/>
          </w:tcPr>
          <w:p w14:paraId="15D5DAB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平台手动操作杆                    1套</w:t>
            </w:r>
          </w:p>
        </w:tc>
      </w:tr>
      <w:tr w14:paraId="7BBC69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0E26E0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04871E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.7</w:t>
            </w:r>
          </w:p>
        </w:tc>
        <w:tc>
          <w:tcPr>
            <w:tcW w:w="6224" w:type="dxa"/>
          </w:tcPr>
          <w:p w14:paraId="4EB4736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可溯源标准物质                    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套</w:t>
            </w:r>
          </w:p>
        </w:tc>
      </w:tr>
      <w:tr w14:paraId="457378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0616CC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yellow"/>
              </w:rPr>
            </w:pPr>
          </w:p>
        </w:tc>
        <w:tc>
          <w:tcPr>
            <w:tcW w:w="999" w:type="dxa"/>
            <w:vAlign w:val="center"/>
          </w:tcPr>
          <w:p w14:paraId="33AC33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.8</w:t>
            </w:r>
          </w:p>
        </w:tc>
        <w:tc>
          <w:tcPr>
            <w:tcW w:w="6224" w:type="dxa"/>
          </w:tcPr>
          <w:p w14:paraId="70353D0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10升液氮罐                        1个</w:t>
            </w:r>
          </w:p>
        </w:tc>
      </w:tr>
      <w:tr w14:paraId="565F74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79EB7E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yellow"/>
              </w:rPr>
            </w:pPr>
          </w:p>
        </w:tc>
        <w:tc>
          <w:tcPr>
            <w:tcW w:w="999" w:type="dxa"/>
            <w:vAlign w:val="center"/>
          </w:tcPr>
          <w:p w14:paraId="5A616C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6224" w:type="dxa"/>
          </w:tcPr>
          <w:p w14:paraId="669DFF7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原厂高分辨图谱库                   1套</w:t>
            </w:r>
          </w:p>
        </w:tc>
      </w:tr>
      <w:tr w14:paraId="00B9E5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270D78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4AD6C4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224" w:type="dxa"/>
          </w:tcPr>
          <w:p w14:paraId="2C4C287C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数据采集处理终端                      1套</w:t>
            </w:r>
          </w:p>
        </w:tc>
      </w:tr>
      <w:tr w14:paraId="28EF38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235C2E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2A615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13.11</w:t>
            </w:r>
          </w:p>
        </w:tc>
        <w:tc>
          <w:tcPr>
            <w:tcW w:w="6224" w:type="dxa"/>
            <w:shd w:val="clear" w:color="auto" w:fill="auto"/>
            <w:vAlign w:val="top"/>
          </w:tcPr>
          <w:p w14:paraId="492EFB0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UPS不间断电源2KVA 1200W 持续供电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3小时   1套</w:t>
            </w:r>
          </w:p>
        </w:tc>
      </w:tr>
      <w:tr w14:paraId="5FA441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614845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60DBF044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6224" w:type="dxa"/>
          </w:tcPr>
          <w:p w14:paraId="709D5A7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数据采集处理终端、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软件和谱图库：</w:t>
            </w:r>
          </w:p>
        </w:tc>
      </w:tr>
      <w:tr w14:paraId="561ED3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  <w:vAlign w:val="center"/>
          </w:tcPr>
          <w:p w14:paraId="308197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4086E8F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14.1</w:t>
            </w:r>
          </w:p>
        </w:tc>
        <w:tc>
          <w:tcPr>
            <w:tcW w:w="6224" w:type="dxa"/>
          </w:tcPr>
          <w:p w14:paraId="411CA29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数据采集处理终端：双核CPU，≥32G内存，固态硬盘≥1TB，独立显卡，≥27英寸液晶显示器。</w:t>
            </w:r>
          </w:p>
        </w:tc>
      </w:tr>
      <w:tr w14:paraId="243B43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  <w:jc w:val="center"/>
        </w:trPr>
        <w:tc>
          <w:tcPr>
            <w:tcW w:w="1079" w:type="dxa"/>
          </w:tcPr>
          <w:p w14:paraId="4B2A6B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208A6EB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224" w:type="dxa"/>
          </w:tcPr>
          <w:p w14:paraId="79C56A5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32位红外光谱软件包，功能包括数据采集、数据处理、谱库检索、谱图解析等。要求全部汉化，可用中文对谱图进行标注。实时显示系统当前所处的状态，并实时给出主要元器件的电流、电压、温度值，指示出故障问题并指导使用者如何解决故障问题。红外显微镜操作软件包括：红外光谱数据采集，且具有实时光谱预览功能；实时自动大气校正功能；实时光谱预搜索功能；不同样品摄像的数字图像显示；</w:t>
            </w:r>
          </w:p>
          <w:p w14:paraId="258E91D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字图像信号捕捉；反射、透射和光阑的独立LED照明控制；自动聚焦，软件可控制手动聚焦；聚光镜自动聚焦，自动重新定位控制；红外光阑x-y长宽大小调整和旋转控制；虚拟操纵杆(软件界面)操作；自动ATR接触控制/释放控制/个性化压力阈值设置；载片观察功能，样品台弹出式安装和卸载功能；</w:t>
            </w:r>
          </w:p>
          <w:p w14:paraId="697D719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反射模式下自动定位采集背景；动态的用户界面、仪表板和按钮控制面板；对大量样品显微分析的多功能标准操作程序（SOP）；化学成像、光谱、视频图像、三维以及剖面显示的相互关联；视频图像、马赛克和面扫描图的分析功能，可提取相关物理信息；连续的峰位、峰高/面积和化学成像的相关性分析；</w:t>
            </w:r>
          </w:p>
          <w:p w14:paraId="0C7CA10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级PCA、PCA重算、多元曲线回归法分析化学成像；控制选择室温检测器或液氮冷却检测器（选配）；控制选择反射、透射和ATR模式；可视偏振（选配）的插入和旋转控制；高级ATR校正处理数据；高分辨谱库搜索功能；独特的谱库管理功能；电子版报告功能；数据文件和谱库的转换功能驱动软件：包括红外主机及相关部件的驱动及控制软件，可实现光路、检测器等的自动准直。</w:t>
            </w:r>
          </w:p>
        </w:tc>
      </w:tr>
      <w:tr w14:paraId="0452AE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10A1B5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26AC5B7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224" w:type="dxa"/>
          </w:tcPr>
          <w:p w14:paraId="3D3DBB9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红外专用分析软件：主要功能包括实时数据采集，支持实验记录本和各种实验报告格式，谱图预览，可支持智能型附件，光谱质量检查，光学台状态检查，全方位多媒体系统诊断，快捷工具图标，QC比对功能，谱库管理，谱图处理功能，自动水蒸气和二氧化碳校正，多种数据格式转换，多种编辑功能（例如剪贴、复制、粘贴），各种强大的数据处理功能（包括基线校正，直线生成，建空白区，标峰，差谱，平滑，光谱转换，ATR校正，K-K校正，曲线拟合，解卷积，求导等多项数学处理功能）；具谱图解析专家智能帮助系统及自建谱库功能等。</w:t>
            </w:r>
          </w:p>
        </w:tc>
      </w:tr>
      <w:tr w14:paraId="542A63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72FC6C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8DFAB4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6224" w:type="dxa"/>
          </w:tcPr>
          <w:p w14:paraId="17B9F64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混合物光谱分离鉴别分析软件：软件可对混合物或污染物样品光谱自动分离鉴别其成分、给出不同组分相对含量比列。软件支持各种红外光谱格式，可连网检索光谱的化学结构。</w:t>
            </w:r>
          </w:p>
        </w:tc>
      </w:tr>
      <w:tr w14:paraId="314B1C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5FB387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FAF2D9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备注1</w:t>
            </w:r>
          </w:p>
        </w:tc>
        <w:tc>
          <w:tcPr>
            <w:tcW w:w="6224" w:type="dxa"/>
          </w:tcPr>
          <w:p w14:paraId="13791A1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以上所有指标不得负偏离</w:t>
            </w:r>
          </w:p>
        </w:tc>
      </w:tr>
      <w:tr w14:paraId="6E4C31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9" w:type="dxa"/>
          </w:tcPr>
          <w:p w14:paraId="692962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5D76142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备注2</w:t>
            </w:r>
          </w:p>
        </w:tc>
        <w:tc>
          <w:tcPr>
            <w:tcW w:w="6224" w:type="dxa"/>
          </w:tcPr>
          <w:p w14:paraId="0E2885D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要求提供佐证材料的需提供包括但不限于第三方证明、图片、彩页说明、产品说明书等材料。</w:t>
            </w:r>
          </w:p>
        </w:tc>
      </w:tr>
    </w:tbl>
    <w:p w14:paraId="3E5E810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1C5AB1"/>
    <w:rsid w:val="121C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/>
    </w:pPr>
    <w:rPr>
      <w:szCs w:val="20"/>
    </w:rPr>
  </w:style>
  <w:style w:type="paragraph" w:styleId="3">
    <w:name w:val="toc 4"/>
    <w:basedOn w:val="1"/>
    <w:next w:val="1"/>
    <w:unhideWhenUsed/>
    <w:qFormat/>
    <w:uiPriority w:val="39"/>
    <w:pPr>
      <w:ind w:left="1260" w:leftChars="600"/>
    </w:p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2026-06-26T09:44:00Z</dcterms:created>
  <dc:creator>庸人</dc:creator>
  <cp:lastModifiedBy>庸人</cp:lastModifiedBy>
  <dcterms:modified xsi:type="dcterms:W3CDTF">2026-06-26T09:44:51Z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DE80C630C80A4A99A081C0A2D3158BAB_11</vt:lpwstr>
  </property>
  <property fmtid="{D5CDD505-2E9C-101B-9397-08002B2CF9AE}" pid="4" name="KSOTemplateDocerSaveRecord">
    <vt:lpwstr>eyJoZGlkIjoiMzNkNjY0MDIyMmQ1YjY0YzY0N2MzZjdhZDY2NGYyOTkiLCJ1c2VySWQiOiI0MTk1MjY2MTkifQ==</vt:lpwstr>
  </property>
</Properties>
</file>