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版本号：【KRDL】K1-2607166.1B120260824002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和馨食堂装修改造项目(二次)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【KRDL】K1-2607166.1B1</w:t>
      </w:r>
      <w:r>
        <w:br/>
      </w:r>
      <w:r>
        <w:br/>
      </w:r>
      <w:r>
        <w:br/>
      </w:r>
    </w:p>
    <w:p>
      <w:pPr>
        <w:pStyle w:val="null3"/>
        <w:jc w:val="center"/>
        <w:outlineLvl w:val="2"/>
      </w:pPr>
      <w:r>
        <w:rPr>
          <w:rFonts w:ascii="仿宋_GB2312" w:hAnsi="仿宋_GB2312" w:cs="仿宋_GB2312" w:eastAsia="仿宋_GB2312"/>
          <w:sz w:val="28"/>
          <w:b/>
        </w:rPr>
        <w:t>陕西财经职业技术学院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陕西财经职业技术学院</w:t>
      </w:r>
      <w:r>
        <w:rPr>
          <w:rFonts w:ascii="仿宋_GB2312" w:hAnsi="仿宋_GB2312" w:cs="仿宋_GB2312" w:eastAsia="仿宋_GB2312"/>
        </w:rPr>
        <w:t>委托，拟对</w:t>
      </w:r>
      <w:r>
        <w:rPr>
          <w:rFonts w:ascii="仿宋_GB2312" w:hAnsi="仿宋_GB2312" w:cs="仿宋_GB2312" w:eastAsia="仿宋_GB2312"/>
        </w:rPr>
        <w:t>和馨食堂装修改造项目(二次)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【KRDL】K1-2607166.1B1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和馨食堂装修改造项目(二次)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和馨食堂装修改造项目一项，具体内容详见磋商文件、图纸和工程量清单。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采购包1（和馨食堂装修改造项目）：属于专门面向中小企业采购。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1、主体资格：供应商为向采购人提供工程及配套服务的法人或其他组织；</w:t>
      </w:r>
    </w:p>
    <w:p>
      <w:pPr>
        <w:pStyle w:val="null3"/>
      </w:pPr>
      <w:r>
        <w:rPr>
          <w:rFonts w:ascii="仿宋_GB2312" w:hAnsi="仿宋_GB2312" w:cs="仿宋_GB2312" w:eastAsia="仿宋_GB2312"/>
        </w:rPr>
        <w:t>2、企业信用查询：供应商未被“信用中国”网站列入“重大税收违法失信主体名单”“安全生产严重失信主体名单（法人）”；未被“中国执行信息公开网”列入“失信被执行人”；未被“中国政府采购网”网站列入“政府采购严重违法失信行为记录名单”；未被“国家企业信用信息公示系统”网站“列入严重违法失信名单（黑名单）信息”。 同时拟派项目经理未被列入“信用中国”网站的“重点领域严重失信主体名单”中的“安全生产严重失信主体名单（自然人）”；未被“中国执行信息公开网”列入失信被执行人；</w:t>
      </w:r>
    </w:p>
    <w:p>
      <w:pPr>
        <w:pStyle w:val="null3"/>
      </w:pPr>
      <w:r>
        <w:rPr>
          <w:rFonts w:ascii="仿宋_GB2312" w:hAnsi="仿宋_GB2312" w:cs="仿宋_GB2312" w:eastAsia="仿宋_GB2312"/>
        </w:rPr>
        <w:t>3、资质证书：供应商具备建设行政主管部门颁发的建筑装修装饰工程专业二级及以上资质并在人员、设备、资金等方面具备相应的能力；</w:t>
      </w:r>
    </w:p>
    <w:p>
      <w:pPr>
        <w:pStyle w:val="null3"/>
      </w:pPr>
      <w:r>
        <w:rPr>
          <w:rFonts w:ascii="仿宋_GB2312" w:hAnsi="仿宋_GB2312" w:cs="仿宋_GB2312" w:eastAsia="仿宋_GB2312"/>
        </w:rPr>
        <w:t>4、安全生产许可证：：供应商具备有效的安全生产许可证，且未被“全国工程质量安全监管信息平台公共服务门户”网站列为暂扣或吊销状态；</w:t>
      </w:r>
    </w:p>
    <w:p>
      <w:pPr>
        <w:pStyle w:val="null3"/>
      </w:pPr>
      <w:r>
        <w:rPr>
          <w:rFonts w:ascii="仿宋_GB2312" w:hAnsi="仿宋_GB2312" w:cs="仿宋_GB2312" w:eastAsia="仿宋_GB2312"/>
        </w:rPr>
        <w:t>5、项目经理：拟派项目经理应具备房屋建筑工程专业二级及以上注册建造师执业资格及合法有效的安全生产考核合格证（安全B证），在本单位注册且无在建工程；</w:t>
      </w:r>
    </w:p>
    <w:p>
      <w:pPr>
        <w:pStyle w:val="null3"/>
      </w:pPr>
      <w:r>
        <w:rPr>
          <w:rFonts w:ascii="仿宋_GB2312" w:hAnsi="仿宋_GB2312" w:cs="仿宋_GB2312" w:eastAsia="仿宋_GB2312"/>
        </w:rPr>
        <w:t>6、其他要求：供应商及其拟派项目经理须在“陕西省住房和城乡建设厅”官方网站可查询；如供应商为外省进陕企业，还须同时提供“陕西省住房和城乡建设厅”官网企业库外省进陕施工企业信息首页截图；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陕西财经职业技术学院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咸阳市文林路1号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原老师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029-33732421、029-33732426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彭熠豪、王昭、姚瑶、刘昆、张晨、代光艳、王森、靳祥德、成荔、彭明杨、王莉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029-89569197、15667250842、18740707410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采购包1：792,851.48元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采购包1保证金金额：10,001.00元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代理服务费收费标准：由成交供应商参照国家计委颁发的《招标代理服务收费管理暂行办法》（计价格[2002]1980号）和发改革颁发的《关于招标代理服务收费有关问题的通知》（发改办价格[2003] 857号）的有关规定，不足5000.00元按5000.00元计取向采购代理机构一次付清代理服务费。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陕西财经职业技术学院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陕西财经职业技术学院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陕西财经职业技术学院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详见采购合同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以签订合同为准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联系人：彭熠豪、王昭</w:t>
      </w:r>
    </w:p>
    <w:p>
      <w:pPr>
        <w:pStyle w:val="null3"/>
      </w:pPr>
      <w:r>
        <w:rPr>
          <w:rFonts w:ascii="仿宋_GB2312" w:hAnsi="仿宋_GB2312" w:cs="仿宋_GB2312" w:eastAsia="仿宋_GB2312"/>
        </w:rPr>
        <w:t>联系电话：15667250842</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792,851.48</w:t>
      </w:r>
    </w:p>
    <w:p>
      <w:pPr>
        <w:pStyle w:val="null3"/>
      </w:pPr>
      <w:r>
        <w:rPr>
          <w:rFonts w:ascii="仿宋_GB2312" w:hAnsi="仿宋_GB2312" w:cs="仿宋_GB2312" w:eastAsia="仿宋_GB2312"/>
        </w:rPr>
        <w:t>采购包最高限价（元）: 792,851.48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792,851.48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技术规格要求</w:t>
            </w:r>
          </w:p>
          <w:p>
            <w:pPr>
              <w:pStyle w:val="null3"/>
              <w:ind w:firstLine="400"/>
            </w:pPr>
            <w:r>
              <w:rPr>
                <w:rFonts w:ascii="仿宋_GB2312" w:hAnsi="仿宋_GB2312" w:cs="仿宋_GB2312" w:eastAsia="仿宋_GB2312"/>
              </w:rPr>
              <w:t>1.BV线：整体采用4平方BV线、由于后厨设备都是大功率、线路加大，可增加使用寿命、具备过载、漏电保护功能。</w:t>
            </w:r>
          </w:p>
          <w:p>
            <w:pPr>
              <w:pStyle w:val="null3"/>
              <w:ind w:firstLine="400"/>
            </w:pPr>
            <w:r>
              <w:rPr>
                <w:rFonts w:ascii="仿宋_GB2312" w:hAnsi="仿宋_GB2312" w:cs="仿宋_GB2312" w:eastAsia="仿宋_GB2312"/>
              </w:rPr>
              <w:t>2.整套电箱：电量、电压满足使用需求，运行稳定，空开漏电保护功能，电箱防腐处理，使用寿命8年。</w:t>
            </w:r>
          </w:p>
          <w:p>
            <w:pPr>
              <w:pStyle w:val="null3"/>
              <w:ind w:firstLine="400"/>
            </w:pPr>
            <w:r>
              <w:rPr>
                <w:rFonts w:ascii="仿宋_GB2312" w:hAnsi="仿宋_GB2312" w:cs="仿宋_GB2312" w:eastAsia="仿宋_GB2312"/>
              </w:rPr>
              <w:t>3.下水管道：采用不锈钢材质，厚度≥1.5mm，密封严密、无漏水，管道走向合理，弯头、接口光滑，便于日常清洁维护，符合食药监标准，避免积油隐患。</w:t>
            </w:r>
          </w:p>
          <w:p>
            <w:pPr>
              <w:pStyle w:val="null3"/>
              <w:ind w:firstLine="400"/>
            </w:pPr>
            <w:r>
              <w:rPr>
                <w:rFonts w:ascii="仿宋_GB2312" w:hAnsi="仿宋_GB2312" w:cs="仿宋_GB2312" w:eastAsia="仿宋_GB2312"/>
              </w:rPr>
              <w:t>4.PPR水管：采用2.0热熔、可增加使用寿命、满足使用需求，走明管、增加水阀，易于检查维修。</w:t>
            </w:r>
          </w:p>
          <w:p>
            <w:pPr>
              <w:pStyle w:val="null3"/>
              <w:ind w:firstLine="400"/>
            </w:pPr>
            <w:r>
              <w:rPr>
                <w:rFonts w:ascii="仿宋_GB2312" w:hAnsi="仿宋_GB2312" w:cs="仿宋_GB2312" w:eastAsia="仿宋_GB2312"/>
              </w:rPr>
              <w:t>5.隔墙：采用轻钢龙骨框架，水泥板打底、可增加使用寿命、防水防潮，表面使用防火墙板，防水防火、便于清理，墙加使用寿命。</w:t>
            </w:r>
          </w:p>
          <w:p>
            <w:pPr>
              <w:pStyle w:val="null3"/>
              <w:ind w:firstLine="400"/>
            </w:pPr>
            <w:r>
              <w:rPr>
                <w:rFonts w:ascii="仿宋_GB2312" w:hAnsi="仿宋_GB2312" w:cs="仿宋_GB2312" w:eastAsia="仿宋_GB2312"/>
              </w:rPr>
              <w:t>6.地板砖：采用800×800毫米尺寸，具备抗污性、耐磨性、化学稳定性。</w:t>
            </w:r>
          </w:p>
          <w:p>
            <w:pPr>
              <w:pStyle w:val="null3"/>
              <w:ind w:firstLine="400"/>
            </w:pPr>
            <w:r>
              <w:rPr>
                <w:rFonts w:ascii="仿宋_GB2312" w:hAnsi="仿宋_GB2312" w:cs="仿宋_GB2312" w:eastAsia="仿宋_GB2312"/>
              </w:rPr>
              <w:t>7.铝扣板吊顶：采用铝扣板专用卡槽、顶面吊丝结合、表面采用600*600毫米铝扣板，整体平吊，符合安全标准。</w:t>
            </w:r>
          </w:p>
          <w:p>
            <w:pPr>
              <w:pStyle w:val="null3"/>
              <w:ind w:firstLine="400"/>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服务要求</w:t>
            </w:r>
          </w:p>
          <w:p>
            <w:pPr>
              <w:pStyle w:val="null3"/>
              <w:ind w:firstLine="400"/>
            </w:pPr>
            <w:r>
              <w:rPr>
                <w:rFonts w:ascii="仿宋_GB2312" w:hAnsi="仿宋_GB2312" w:cs="仿宋_GB2312" w:eastAsia="仿宋_GB2312"/>
              </w:rPr>
              <w:t>1.安装服务：供应商负责老旧拆除、清理以及垃圾清运，新做精准安装、密封加固、调试运行，施工过程规范，避免破坏校园设施，施工垃圾及时清理，不影响食堂正常运营及校园环境。</w:t>
            </w:r>
          </w:p>
          <w:p>
            <w:pPr>
              <w:pStyle w:val="null3"/>
              <w:ind w:firstLine="400"/>
            </w:pPr>
            <w:r>
              <w:rPr>
                <w:rFonts w:ascii="仿宋_GB2312" w:hAnsi="仿宋_GB2312" w:cs="仿宋_GB2312" w:eastAsia="仿宋_GB2312"/>
              </w:rPr>
              <w:t>2.培训服务：免费为使用管理人员提供设备操作、日常维护、简单故障排查培训，确保能独立正常使用设备。</w:t>
            </w:r>
          </w:p>
          <w:p>
            <w:pPr>
              <w:pStyle w:val="null3"/>
              <w:ind w:firstLine="400"/>
            </w:pPr>
            <w:r>
              <w:rPr>
                <w:rFonts w:ascii="仿宋_GB2312" w:hAnsi="仿宋_GB2312" w:cs="仿宋_GB2312" w:eastAsia="仿宋_GB2312"/>
              </w:rPr>
              <w:t>3.售后保障：提供至少</w:t>
            </w:r>
            <w:r>
              <w:rPr>
                <w:rFonts w:ascii="仿宋_GB2312" w:hAnsi="仿宋_GB2312" w:cs="仿宋_GB2312" w:eastAsia="仿宋_GB2312"/>
              </w:rPr>
              <w:t>2</w:t>
            </w:r>
            <w:r>
              <w:rPr>
                <w:rFonts w:ascii="仿宋_GB2312" w:hAnsi="仿宋_GB2312" w:cs="仿宋_GB2312" w:eastAsia="仿宋_GB2312"/>
              </w:rPr>
              <w:t>年免费质保，质保期内免费维修、更换故障零部件；接到故障报修后</w:t>
            </w:r>
            <w:r>
              <w:rPr>
                <w:rFonts w:ascii="仿宋_GB2312" w:hAnsi="仿宋_GB2312" w:cs="仿宋_GB2312" w:eastAsia="仿宋_GB2312"/>
              </w:rPr>
              <w:t>24小时内响应，48小时内到场处理，保障系统正常运行。</w:t>
            </w:r>
          </w:p>
          <w:p>
            <w:pPr>
              <w:pStyle w:val="null3"/>
              <w:ind w:firstLine="400"/>
            </w:pPr>
            <w:r>
              <w:rPr>
                <w:rFonts w:ascii="仿宋_GB2312" w:hAnsi="仿宋_GB2312" w:cs="仿宋_GB2312" w:eastAsia="仿宋_GB2312"/>
              </w:rPr>
              <w:t>4.施工管理：供应商须严格遵守学校规定的施工时间与场地管理要求，按期完成施工任务。施工期间，供应商应全权负责其工作人员及第三方人员的人身与财产安全，承担因施工操作不当或管理疏忽所引发的一切安全责任及相应费用。</w:t>
            </w:r>
          </w:p>
          <w:p>
            <w:pPr>
              <w:pStyle w:val="null3"/>
              <w:ind w:firstLine="400"/>
            </w:pPr>
            <w:r>
              <w:rPr>
                <w:rFonts w:ascii="仿宋_GB2312" w:hAnsi="仿宋_GB2312" w:cs="仿宋_GB2312" w:eastAsia="仿宋_GB2312"/>
              </w:rPr>
              <w:t>三、验收要求</w:t>
            </w:r>
          </w:p>
          <w:p>
            <w:pPr>
              <w:pStyle w:val="null3"/>
              <w:ind w:firstLine="400"/>
            </w:pPr>
            <w:r>
              <w:rPr>
                <w:rFonts w:ascii="仿宋_GB2312" w:hAnsi="仿宋_GB2312" w:cs="仿宋_GB2312" w:eastAsia="仿宋_GB2312"/>
              </w:rPr>
              <w:t>1.外观验收：安装平整、牢固，连接紧密，无破损、漏风，表面无污渍、划痕，辅材安装规范，符合设计要求。</w:t>
            </w:r>
          </w:p>
          <w:p>
            <w:pPr>
              <w:pStyle w:val="null3"/>
              <w:ind w:firstLine="400"/>
            </w:pPr>
            <w:r>
              <w:rPr>
                <w:rFonts w:ascii="仿宋_GB2312" w:hAnsi="仿宋_GB2312" w:cs="仿宋_GB2312" w:eastAsia="仿宋_GB2312"/>
              </w:rPr>
              <w:t>2.性能验收：电路运行正常，无跳闸。下路有坡度，无反流。吊顶平整，无破裂。隔墙橫平竖直、表面无无破裂，整体结实无晃动。效率达标，排放符合环保标准；能耗符合技术规格，各项保护功能正常。</w:t>
            </w:r>
          </w:p>
          <w:p>
            <w:pPr>
              <w:pStyle w:val="null3"/>
              <w:ind w:firstLine="400"/>
            </w:pPr>
            <w:r>
              <w:rPr>
                <w:rFonts w:ascii="仿宋_GB2312" w:hAnsi="仿宋_GB2312" w:cs="仿宋_GB2312" w:eastAsia="仿宋_GB2312"/>
              </w:rPr>
              <w:t>3.资料验收：供应商需提供合格证、检测报告、安装图纸、质保承诺等完整资料，确保资料真实、齐全、规范。</w:t>
            </w:r>
          </w:p>
          <w:p>
            <w:pPr>
              <w:pStyle w:val="null3"/>
              <w:ind w:firstLine="400"/>
            </w:pPr>
            <w:r>
              <w:rPr>
                <w:rFonts w:ascii="仿宋_GB2312" w:hAnsi="仿宋_GB2312" w:cs="仿宋_GB2312" w:eastAsia="仿宋_GB2312"/>
              </w:rPr>
              <w:t>4.整体验收：由学校组织相关人员，结合环保、消防相关要求，对项目整体进行验收，验收合格后签署验收报告；不合格项需在规定期限内整改，直至 验收通过。</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满足现行《建筑与市政工程施工质量控制通用规范》、国家、省、市、行业及项目所在地的强制性规范要求，同时满足合同的要求，质量验收合格。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（一）质量保修期：整体工程质保2年，自验收合格之日起计算。 （二）供应商需提供项目所用材料的合格证明、检测报告。 （三）施工过程中需接受校方的质量抽查，不合格部分需无条件返工。 （四）隐蔽工程验收需提供影像资料及检测报告。 （五）质保期内出现质量问题，供应商需在24小时内响应，48小时内到场处理，若超过52小时未解决，校方有权委托第三方维修，费用从质保金中扣除。</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（一）本项目最高投标限价：792851.48元，磋商报价不得超过此金额，否则视为无效投标。 （二）付款方式： 乙方须在约定的合同期限内完成安装工作。经甲方验收合格后，须由甲方审计部门对结算金额进行审计，并以审计确认的金额为最终价款。甲方按照审计决算总额的97%支付款项。 剩余3%作为质保金，2年质保期满无质量问题后一次性付清余款。 （三）本项目工期：总工期45天。若因校方原因或其它客观因素影响需暂停施工，工期按实际暂停天数顺延。 （四）工程地点：采购人指定地点。 （五）合同价款形式：固定总价合同。 5.1本项目采用工程量清单计价，签订总价合同。投标人综合考虑发包人要求、项目工程内容、措施项目内容、项目存在的市场物价波动等各类风险及本项目拟签订合同中的有关约定，结合现场踏勘所掌握的情况，自行完善和补充工程量清单，自主填报已标价工程量清单及投标报价。所有投标报价中的单价、合价及总价均以人民币表示。 5.2投标人在投标报价时应仔细对招标文件进行透彻地分析研究，投标报价视为是完成本项目全部内容的价格，除合同另有约定外，不予调整。 5.3.措施项目费在报价时投标人可以按自身编制的施工方案、施工组织设计对措施项目清单进行补充、完善，自主填报金额、风险自负，合同履行期间不予调整。 5.4.投标人应当按照招标文件及工程量清单编制说明、最高投标限价编制说明等要求填报暂列金额、材料暂估价、专业工程暂估价，未按照要求的金额或内容填报的，按照无效投标处理（如有）。 计日工按照工程量清单及最高投标限价编制说明中列出的项目和数量自主填报综合单价、合价、投标报价（如有）。 总承包服务费按照工程量清单中列出的具体内容和要求自主计算费用（如有）。 优质工程增加费等内容按照招标文件及拟签订合同的内容，综合考虑在投标报价中，不再另行计取（如有）。 5.5.投标人可自行前往工地现场踏勘，以便充分了解工地位置、情况、道路、储存空间、装卸限制及人和其他足以影响承包价的情况，任何因投标人疏忽或误解工地情况而导致的索赔或工期延长申请将不被批准。凡因投标人对招标文件阅读疏忽或误解，或因对施工现场、施工环境、市场行情等了解不清而造成的后果和风险，均由投标人负责。 5.6.增值税和安全文明施工措施费属不可竞争费用，按照现行有关规定填报。 5.7.本工程施工过程中产生的所有建筑垃圾均须运至场外，有关费用在投标报价中综合考虑，招标人不再另行支付； 5.8.临时围挡的施工，承包人需按照发包人提供或确认的图纸进行施工，在投标报价中综合考虑，招标人不再另行支付，且在施工过程中承包人所做围挡应满足现场安全和相关部门的检查等。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供应商为向采购人提供工程及配套服务的法人或其他组织；</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未被“信用中国”网站列入“重大税收违法失信主体名单”“安全生产严重失信主体名单（法人）”；未被“中国执行信息公开网”列入“失信被执行人”；未被“中国政府采购网”网站列入“政府采购严重违法失信行为记录名单”；未被“国家企业信用信息公示系统”网站“列入严重违法失信名单（黑名单）信息”。 同时拟派项目经理未被列入“信用中国”网站的“重点领域严重失信主体名单”中的“安全生产严重失信主体名单（自然人）”；未被“中国执行信息公开网”列入失信被执行人；</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供应商具备建设行政主管部门颁发的建筑装修装饰工程专业二级及以上资质并在人员、设备、资金等方面具备相应的能力；</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安全生产许可证：</w:t>
            </w:r>
          </w:p>
        </w:tc>
        <w:tc>
          <w:tcPr>
            <w:tcW w:type="dxa" w:w="3322"/>
          </w:tcPr>
          <w:p>
            <w:pPr>
              <w:pStyle w:val="null3"/>
            </w:pPr>
            <w:r>
              <w:rPr>
                <w:rFonts w:ascii="仿宋_GB2312" w:hAnsi="仿宋_GB2312" w:cs="仿宋_GB2312" w:eastAsia="仿宋_GB2312"/>
              </w:rPr>
              <w:t>供应商具备有效的安全生产许可证，且未被“全国工程质量安全监管信息平台公共服务门户”网站列为暂扣或吊销状态；</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拟派项目经理应具备房屋建筑工程专业二级及以上注册建造师执业资格及合法有效的安全生产考核合格证（安全B证），在本单位注册且无在建工程；</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供应商及其拟派项目经理须在“陕西省住房和城乡建设厅”官方网站可查询；如供应商为外省进陕企业，还须同时提供“陕西省住房和城乡建设厅”官网企业库外省进陕施工企业信息首页截图；</w:t>
            </w:r>
          </w:p>
        </w:tc>
        <w:tc>
          <w:tcPr>
            <w:tcW w:type="dxa" w:w="1661"/>
          </w:tcPr>
          <w:p>
            <w:pPr>
              <w:pStyle w:val="null3"/>
            </w:pPr>
            <w:r>
              <w:rPr>
                <w:rFonts w:ascii="仿宋_GB2312" w:hAnsi="仿宋_GB2312" w:cs="仿宋_GB2312" w:eastAsia="仿宋_GB2312"/>
              </w:rPr>
              <w:t>资格审查.docx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与营业执照、资质证书、安全生产许可证一致。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投标函签字盖章</w:t>
            </w:r>
          </w:p>
        </w:tc>
        <w:tc>
          <w:tcPr>
            <w:tcW w:type="dxa" w:w="3322"/>
          </w:tcPr>
          <w:p>
            <w:pPr>
              <w:pStyle w:val="null3"/>
            </w:pPr>
            <w:r>
              <w:rPr>
                <w:rFonts w:ascii="仿宋_GB2312" w:hAnsi="仿宋_GB2312" w:cs="仿宋_GB2312" w:eastAsia="仿宋_GB2312"/>
              </w:rPr>
              <w:t>供应商需在项目电子化交易系统中按要求填写《响应函》、《报价函》、《法定代表人证明书》、《法定代表人授权书》完成承诺并进行电子签章。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每次报价只能有一个有效报价。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符合本项目工期的要求。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法定代表人或合法授权代表证明：法定代表人参加开标会议的，应出具法定代表人证明书。法定代表人授权合法授权代表参加磋商会议的，应出具法定代表人证明书、法定代表人授权书，同时提供截至响应文件递交截止时间前6个月内任意1个月的社保缴纳证明材料。</w:t>
            </w:r>
          </w:p>
        </w:tc>
        <w:tc>
          <w:tcPr>
            <w:tcW w:type="dxa" w:w="1661"/>
          </w:tcPr>
          <w:p>
            <w:pPr>
              <w:pStyle w:val="null3"/>
            </w:pPr>
            <w:r>
              <w:rPr>
                <w:rFonts w:ascii="仿宋_GB2312" w:hAnsi="仿宋_GB2312" w:cs="仿宋_GB2312" w:eastAsia="仿宋_GB2312"/>
              </w:rPr>
              <w:t>响应文件封面 资格审查.docx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供应商提供2023年1月1日以来至今已承接的类似业绩证明材料，每提供1项得3分，最多得15分。 评审依据：提供类似业绩合同扫描件或复印件（包含合同主要内容及签字盖章等关键信息），时间以合同体现时间为准，未提供或提供不全的不得分。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施工组织设计方案.docx</w:t>
            </w:r>
          </w:p>
        </w:tc>
      </w:tr>
      <w:tr>
        <w:tc>
          <w:tcPr>
            <w:tcW w:type="dxa" w:w="831"/>
            <w:vMerge/>
          </w:tcPr>
          <w:p/>
        </w:tc>
        <w:tc>
          <w:tcPr>
            <w:tcW w:type="dxa" w:w="1661"/>
          </w:tcPr>
          <w:p>
            <w:pPr>
              <w:pStyle w:val="null3"/>
            </w:pPr>
            <w:r>
              <w:rPr>
                <w:rFonts w:ascii="仿宋_GB2312" w:hAnsi="仿宋_GB2312" w:cs="仿宋_GB2312" w:eastAsia="仿宋_GB2312"/>
              </w:rPr>
              <w:t>拟派项目经理</w:t>
            </w:r>
          </w:p>
        </w:tc>
        <w:tc>
          <w:tcPr>
            <w:tcW w:type="dxa" w:w="2492"/>
          </w:tcPr>
          <w:p>
            <w:pPr>
              <w:pStyle w:val="null3"/>
            </w:pPr>
            <w:r>
              <w:rPr>
                <w:rFonts w:ascii="仿宋_GB2312" w:hAnsi="仿宋_GB2312" w:cs="仿宋_GB2312" w:eastAsia="仿宋_GB2312"/>
              </w:rPr>
              <w:t>1.拟派项目经理的职称（满分3分） 拟派项目经理具备中级（含）以上职称的得3分，初级的得1分；其余情况不得分。 评审依据：评审时以供应商提供的拟派项目经理的职称证扫描件或复印件，提供多个职称证明材料的，以最高职称证书的扫描件或复印件。 2.拟派项目经理学历（满分3分） 具有本科学历及以上得3分，大专学历及以上得1分，其他情况不得分。 评审依据：评审时以供应商提供的拟派项目经理的最高学历证书复印件或扫描件为准。 3.拟派项目经理业绩（满分4分） 供应商提供拟派项目经理自2023年1月1日以来至今已完成的类似业绩证明材料，（在该项目中担任项目经理一职）提供1项得2分，最高得4分，未提供不得分。 评审依据：提供类似业绩合同扫描件或复印件（包含合同主要内容及签字盖章等关键信息）及竣工验收证明材料，以合同签订时间所体现的时间为准，合同中应体现的项目经理姓名。拟派项目经理业绩与企业业绩可重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施工总体规划部署及施工方案</w:t>
            </w:r>
          </w:p>
        </w:tc>
        <w:tc>
          <w:tcPr>
            <w:tcW w:type="dxa" w:w="2492"/>
          </w:tcPr>
          <w:p>
            <w:pPr>
              <w:pStyle w:val="null3"/>
            </w:pPr>
            <w:r>
              <w:rPr>
                <w:rFonts w:ascii="仿宋_GB2312" w:hAnsi="仿宋_GB2312" w:cs="仿宋_GB2312" w:eastAsia="仿宋_GB2312"/>
              </w:rPr>
              <w:t>供应商提供的施工总体规划部署及施工方案需包含①项目施工总体思路；②施工实施阶段划分；③关键工序技术把控措施，共3项内容，每项满分3分，总分9分。 其中，每项以具体内容与本项目及采购需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质量管控体系方案</w:t>
            </w:r>
          </w:p>
        </w:tc>
        <w:tc>
          <w:tcPr>
            <w:tcW w:type="dxa" w:w="2492"/>
          </w:tcPr>
          <w:p>
            <w:pPr>
              <w:pStyle w:val="null3"/>
            </w:pPr>
            <w:r>
              <w:rPr>
                <w:rFonts w:ascii="仿宋_GB2312" w:hAnsi="仿宋_GB2312" w:cs="仿宋_GB2312" w:eastAsia="仿宋_GB2312"/>
              </w:rPr>
              <w:t>供应商提供的质量管控体系方案需包含①质量目标及管控措施；②全流程质量检验、整改机制；③质量通病防治措施，共3项内容，每项满分3分，总分9分。 其中，每项以具体内容与本项目及采购需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进度管控与应急方案</w:t>
            </w:r>
          </w:p>
        </w:tc>
        <w:tc>
          <w:tcPr>
            <w:tcW w:type="dxa" w:w="2492"/>
          </w:tcPr>
          <w:p>
            <w:pPr>
              <w:pStyle w:val="null3"/>
            </w:pPr>
            <w:r>
              <w:rPr>
                <w:rFonts w:ascii="仿宋_GB2312" w:hAnsi="仿宋_GB2312" w:cs="仿宋_GB2312" w:eastAsia="仿宋_GB2312"/>
              </w:rPr>
              <w:t>供应商提供的进度管控与应急方案需包含①进度管控节点设置、动态调整；②工期延误风险预判及应对措施；③季节性施工（雨期、冬期）适配措施，共3项内容，每项满分3分，总分9分。 其中，每项以具体内容与本项目及采购需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安全文明施工方案</w:t>
            </w:r>
          </w:p>
        </w:tc>
        <w:tc>
          <w:tcPr>
            <w:tcW w:type="dxa" w:w="2492"/>
          </w:tcPr>
          <w:p>
            <w:pPr>
              <w:pStyle w:val="null3"/>
            </w:pPr>
            <w:r>
              <w:rPr>
                <w:rFonts w:ascii="仿宋_GB2312" w:hAnsi="仿宋_GB2312" w:cs="仿宋_GB2312" w:eastAsia="仿宋_GB2312"/>
              </w:rPr>
              <w:t>供应商提供的安全文明施工方案需包含①安全生产管理制度、责任分工；②安全风险防控、应急处置方案；③文明施工、环保措施（扬尘、噪音管控等），共3项内容，每项满分3分，总分9分。 其中，每项以具体内容与本项目及采购需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资源配置保障方案</w:t>
            </w:r>
          </w:p>
        </w:tc>
        <w:tc>
          <w:tcPr>
            <w:tcW w:type="dxa" w:w="2492"/>
          </w:tcPr>
          <w:p>
            <w:pPr>
              <w:pStyle w:val="null3"/>
            </w:pPr>
            <w:r>
              <w:rPr>
                <w:rFonts w:ascii="仿宋_GB2312" w:hAnsi="仿宋_GB2312" w:cs="仿宋_GB2312" w:eastAsia="仿宋_GB2312"/>
              </w:rPr>
              <w:t>供应商提供的资源配置保障方案需包含①施工队伍、管理人员及经验；②施工机械设备、材料供应；③人力、设备调度方案，共3项内容，每项满分3分，总分9分。 其中，每项以具体内容与本项目及采购需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磋商报价采用低价优先法计算，即满足磋商文件要求且最后磋商报价最低的报价为评审基准价，其价格分为满分。其他供应商的价格分统一按照下列公式计算：磋商报价得分=（评标基准价/最后磋商报价×30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详见附件：施工组织设计方案.docx</w:t>
      </w:r>
    </w:p>
    <w:p>
      <w:pPr>
        <w:pStyle w:val="null3"/>
        <w:ind w:firstLine="960"/>
      </w:pPr>
      <w:r>
        <w:rPr>
          <w:rFonts w:ascii="仿宋_GB2312" w:hAnsi="仿宋_GB2312" w:cs="仿宋_GB2312" w:eastAsia="仿宋_GB2312"/>
        </w:rPr>
        <w:t>详见附件：资格审查.docx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